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F6342" w:rsidRPr="00FD6445" w:rsidRDefault="00230C87" w:rsidP="00E17B82">
      <w:pPr>
        <w:jc w:val="center"/>
        <w:rPr>
          <w:b/>
        </w:rPr>
      </w:pPr>
      <w:r>
        <w:rPr>
          <w:b/>
        </w:rPr>
        <w:t>Foire aux questions (destinée au site internet Art 51)</w:t>
      </w:r>
    </w:p>
    <w:p w:rsidR="008F6342" w:rsidRPr="00970A4C" w:rsidRDefault="008F6342" w:rsidP="00E608A3">
      <w:pPr>
        <w:shd w:val="clear" w:color="auto" w:fill="8DB3E2" w:themeFill="text2" w:themeFillTint="66"/>
        <w:rPr>
          <w:b/>
        </w:rPr>
      </w:pPr>
      <w:r w:rsidRPr="00970A4C">
        <w:rPr>
          <w:b/>
        </w:rPr>
        <w:t>Quels sont les objectifs du dispositif des expérimentations pour l’innovation en santé ?</w:t>
      </w:r>
    </w:p>
    <w:p w:rsidR="00970A4C" w:rsidRDefault="00AA66A8">
      <w:r>
        <w:t xml:space="preserve">Le dispositif </w:t>
      </w:r>
      <w:r w:rsidR="00F20DBD">
        <w:t xml:space="preserve">vise à expérimenter </w:t>
      </w:r>
      <w:r w:rsidR="00E85A3D">
        <w:t>des organisations innovantes</w:t>
      </w:r>
      <w:r w:rsidR="00F20DBD">
        <w:t xml:space="preserve"> </w:t>
      </w:r>
      <w:r w:rsidR="00E85A3D">
        <w:t>faisant appel à des</w:t>
      </w:r>
      <w:r w:rsidR="00F20DBD">
        <w:t xml:space="preserve"> modes de financements inédits, afin </w:t>
      </w:r>
      <w:r w:rsidR="00594414">
        <w:t>d’identifier</w:t>
      </w:r>
      <w:r w:rsidR="00970A4C">
        <w:t xml:space="preserve"> les modèles permettant de décloisonner le système de santé français et d’inciter à la coopération entre les acteurs, notamment à travers des objectifs </w:t>
      </w:r>
      <w:r w:rsidR="00544CD4">
        <w:t>d’efficience</w:t>
      </w:r>
      <w:r w:rsidR="00970A4C">
        <w:t xml:space="preserve"> et une meilleure prise en compte de la prévention et de la qualité des soins.</w:t>
      </w:r>
    </w:p>
    <w:p w:rsidR="00594414" w:rsidRDefault="00594414" w:rsidP="00594414">
      <w:pPr>
        <w:shd w:val="clear" w:color="auto" w:fill="8DB3E2" w:themeFill="text2" w:themeFillTint="66"/>
        <w:rPr>
          <w:b/>
        </w:rPr>
      </w:pPr>
      <w:r w:rsidRPr="006E7821">
        <w:rPr>
          <w:b/>
        </w:rPr>
        <w:t>Quelles sont les expérimentations attendues ?</w:t>
      </w:r>
    </w:p>
    <w:p w:rsidR="00594414" w:rsidRDefault="00594414" w:rsidP="00594414">
      <w:pPr>
        <w:spacing w:after="0"/>
      </w:pPr>
      <w:r w:rsidRPr="007E0D36">
        <w:t>Les expérimentations doivent concour</w:t>
      </w:r>
      <w:r>
        <w:t xml:space="preserve">ir à </w:t>
      </w:r>
      <w:r w:rsidRPr="007E0D36">
        <w:t>amélior</w:t>
      </w:r>
      <w:r>
        <w:t>er :</w:t>
      </w:r>
    </w:p>
    <w:p w:rsidR="00594414" w:rsidRDefault="00594414" w:rsidP="00594414">
      <w:pPr>
        <w:pStyle w:val="Paragraphedeliste"/>
        <w:numPr>
          <w:ilvl w:val="0"/>
          <w:numId w:val="5"/>
        </w:numPr>
      </w:pPr>
      <w:r w:rsidRPr="007E0D36">
        <w:t xml:space="preserve">la </w:t>
      </w:r>
      <w:r>
        <w:t xml:space="preserve">pertinence et la qualité de la </w:t>
      </w:r>
      <w:r w:rsidRPr="007E0D36">
        <w:t>prise en charge sanitaire, sociale ou médico-sociale</w:t>
      </w:r>
      <w:r>
        <w:t>,</w:t>
      </w:r>
      <w:r w:rsidRPr="007E0D36">
        <w:t xml:space="preserve"> </w:t>
      </w:r>
    </w:p>
    <w:p w:rsidR="00594414" w:rsidRDefault="00E85A3D" w:rsidP="00594414">
      <w:pPr>
        <w:pStyle w:val="Paragraphedeliste"/>
        <w:numPr>
          <w:ilvl w:val="0"/>
          <w:numId w:val="5"/>
        </w:numPr>
      </w:pPr>
      <w:r>
        <w:t>les</w:t>
      </w:r>
      <w:r w:rsidR="00594414">
        <w:t xml:space="preserve"> parcours des patients, via notamment une meilleure coordination des acteurs,</w:t>
      </w:r>
    </w:p>
    <w:p w:rsidR="00594414" w:rsidRDefault="00594414" w:rsidP="00594414">
      <w:pPr>
        <w:pStyle w:val="Paragraphedeliste"/>
        <w:numPr>
          <w:ilvl w:val="0"/>
          <w:numId w:val="5"/>
        </w:numPr>
      </w:pPr>
      <w:r>
        <w:t>l’effi</w:t>
      </w:r>
      <w:r w:rsidRPr="007E0D36">
        <w:t>cience du sys</w:t>
      </w:r>
      <w:r>
        <w:t xml:space="preserve">tème de santé, </w:t>
      </w:r>
    </w:p>
    <w:p w:rsidR="00517C38" w:rsidRDefault="00594414" w:rsidP="00594414">
      <w:pPr>
        <w:pStyle w:val="Paragraphedeliste"/>
        <w:numPr>
          <w:ilvl w:val="0"/>
          <w:numId w:val="5"/>
        </w:numPr>
      </w:pPr>
      <w:r>
        <w:t xml:space="preserve">l’accès aux </w:t>
      </w:r>
      <w:r w:rsidRPr="007E0D36">
        <w:t>soins</w:t>
      </w:r>
      <w:r w:rsidR="00517C38">
        <w:t>,</w:t>
      </w:r>
    </w:p>
    <w:p w:rsidR="00594414" w:rsidRPr="00517C38" w:rsidRDefault="00517C38" w:rsidP="00517C38">
      <w:pPr>
        <w:pStyle w:val="Paragraphedeliste"/>
        <w:numPr>
          <w:ilvl w:val="0"/>
          <w:numId w:val="5"/>
        </w:numPr>
      </w:pPr>
      <w:r w:rsidRPr="00517C38">
        <w:t>le bon usage du médicament</w:t>
      </w:r>
      <w:r w:rsidR="00594414">
        <w:t>.</w:t>
      </w:r>
    </w:p>
    <w:p w:rsidR="00594414" w:rsidRDefault="00594414" w:rsidP="00594414">
      <w:r>
        <w:t>Une expérimentation peut répondre</w:t>
      </w:r>
      <w:r w:rsidR="00A57E33">
        <w:t xml:space="preserve"> à plusieurs de ces objectifs. </w:t>
      </w:r>
    </w:p>
    <w:p w:rsidR="00B227D8" w:rsidRDefault="00B227D8" w:rsidP="00B227D8">
      <w:r w:rsidRPr="007E0D36">
        <w:t xml:space="preserve">Le cadre expérimental est </w:t>
      </w:r>
      <w:r>
        <w:t xml:space="preserve">donc </w:t>
      </w:r>
      <w:r w:rsidRPr="007E0D36">
        <w:t xml:space="preserve">très ouvert. </w:t>
      </w:r>
      <w:r>
        <w:t>Toutefois,</w:t>
      </w:r>
      <w:r w:rsidRPr="00B227D8">
        <w:t xml:space="preserve"> l</w:t>
      </w:r>
      <w:r>
        <w:t>a</w:t>
      </w:r>
      <w:r w:rsidRPr="00B227D8">
        <w:t xml:space="preserve"> mise en œuvre </w:t>
      </w:r>
      <w:r>
        <w:t xml:space="preserve">de ces expérimentations </w:t>
      </w:r>
      <w:r w:rsidRPr="00B227D8">
        <w:t>d</w:t>
      </w:r>
      <w:r>
        <w:t>oi</w:t>
      </w:r>
      <w:r w:rsidRPr="00B227D8">
        <w:t>t nécessiter une des dérogations listées à l’article 51 de la LFSS pour 2018</w:t>
      </w:r>
      <w:r>
        <w:t>.</w:t>
      </w:r>
    </w:p>
    <w:p w:rsidR="00C04E86" w:rsidRDefault="00C04E86" w:rsidP="00594414">
      <w:r>
        <w:t xml:space="preserve">Pour chaque projet, un terrain d’expérimentation devra être </w:t>
      </w:r>
      <w:r w:rsidR="00517C38">
        <w:t>proposé</w:t>
      </w:r>
      <w:r w:rsidR="00B227D8">
        <w:t xml:space="preserve"> par les porteurs de projets</w:t>
      </w:r>
      <w:r w:rsidR="00A57E33">
        <w:t>.</w:t>
      </w:r>
    </w:p>
    <w:p w:rsidR="007D6529" w:rsidRDefault="00153637" w:rsidP="007D6529">
      <w:pPr>
        <w:shd w:val="clear" w:color="auto" w:fill="8DB3E2" w:themeFill="text2" w:themeFillTint="66"/>
        <w:rPr>
          <w:b/>
        </w:rPr>
      </w:pPr>
      <w:r>
        <w:rPr>
          <w:b/>
        </w:rPr>
        <w:t>A quelles disposi</w:t>
      </w:r>
      <w:r w:rsidR="007D6529" w:rsidRPr="00E17B82">
        <w:rPr>
          <w:b/>
        </w:rPr>
        <w:t xml:space="preserve">tions législatives l’article 51 de la LFSS </w:t>
      </w:r>
      <w:r w:rsidR="007D6529">
        <w:rPr>
          <w:b/>
        </w:rPr>
        <w:t xml:space="preserve">pour </w:t>
      </w:r>
      <w:r w:rsidR="007D6529" w:rsidRPr="00E17B82">
        <w:rPr>
          <w:b/>
        </w:rPr>
        <w:t>2018 permet-il de déroger ?</w:t>
      </w:r>
    </w:p>
    <w:p w:rsidR="007D6529" w:rsidRDefault="007D6529" w:rsidP="00594414">
      <w:r w:rsidRPr="00664C18">
        <w:t xml:space="preserve">L’article 51 de la LFSS pour 2018 permet </w:t>
      </w:r>
      <w:r>
        <w:t xml:space="preserve">notamment </w:t>
      </w:r>
      <w:r w:rsidRPr="00664C18">
        <w:t>de</w:t>
      </w:r>
      <w:r>
        <w:t>s</w:t>
      </w:r>
      <w:r w:rsidRPr="00664C18">
        <w:t xml:space="preserve"> dérog</w:t>
      </w:r>
      <w:r>
        <w:t xml:space="preserve">ations aux </w:t>
      </w:r>
      <w:r w:rsidRPr="00664C18">
        <w:t xml:space="preserve">règles de facturation </w:t>
      </w:r>
      <w:r>
        <w:t xml:space="preserve">et de tarification </w:t>
      </w:r>
      <w:r w:rsidRPr="00664C18">
        <w:t>pour tous les offreurs de soins</w:t>
      </w:r>
      <w:r>
        <w:t>, ainsi que des</w:t>
      </w:r>
      <w:r w:rsidRPr="00664C18">
        <w:t xml:space="preserve"> </w:t>
      </w:r>
      <w:r>
        <w:t>d</w:t>
      </w:r>
      <w:r w:rsidRPr="00664C18">
        <w:t>érogations au panier de soins remboursables</w:t>
      </w:r>
      <w:r>
        <w:t xml:space="preserve">. </w:t>
      </w:r>
      <w:r w:rsidR="00503623">
        <w:t>D’autres</w:t>
      </w:r>
      <w:r>
        <w:t xml:space="preserve"> dérogations</w:t>
      </w:r>
      <w:r w:rsidRPr="00664C18">
        <w:t xml:space="preserve"> </w:t>
      </w:r>
      <w:r>
        <w:t>concerne</w:t>
      </w:r>
      <w:r w:rsidRPr="00664C18">
        <w:t>nt la participation financière des patients</w:t>
      </w:r>
      <w:r>
        <w:t xml:space="preserve"> </w:t>
      </w:r>
      <w:r w:rsidR="00503623">
        <w:t>ou encore</w:t>
      </w:r>
      <w:r>
        <w:t xml:space="preserve"> le </w:t>
      </w:r>
      <w:r w:rsidRPr="00664C18">
        <w:t>partage d’honoraires entre professionnels de santé</w:t>
      </w:r>
      <w:r>
        <w:t>.</w:t>
      </w:r>
    </w:p>
    <w:p w:rsidR="00230C87" w:rsidRDefault="00230C87" w:rsidP="00230C87">
      <w:pPr>
        <w:spacing w:after="0"/>
      </w:pPr>
      <w:r>
        <w:t xml:space="preserve">Enfin, certaines </w:t>
      </w:r>
      <w:r w:rsidRPr="00CE6FC9">
        <w:t xml:space="preserve">dérogations </w:t>
      </w:r>
      <w:r>
        <w:t xml:space="preserve">relatives à l’organisation du système de santé </w:t>
      </w:r>
      <w:r w:rsidRPr="00CE6FC9">
        <w:t>nécessit</w:t>
      </w:r>
      <w:r>
        <w:t>e</w:t>
      </w:r>
      <w:r w:rsidRPr="00CE6FC9">
        <w:t>nt un avis de la HAS</w:t>
      </w:r>
      <w:r>
        <w:t xml:space="preserve"> :</w:t>
      </w:r>
    </w:p>
    <w:p w:rsidR="00230C87" w:rsidRDefault="00230C87" w:rsidP="00230C87">
      <w:pPr>
        <w:pStyle w:val="Paragraphedeliste"/>
        <w:numPr>
          <w:ilvl w:val="0"/>
          <w:numId w:val="4"/>
        </w:numPr>
      </w:pPr>
      <w:r w:rsidRPr="00CE6FC9">
        <w:t>les prestation</w:t>
      </w:r>
      <w:r>
        <w:t>s</w:t>
      </w:r>
      <w:r w:rsidRPr="00CE6FC9">
        <w:t xml:space="preserve"> d'héberge</w:t>
      </w:r>
      <w:r>
        <w:t xml:space="preserve">ment temporaire non médicalisé, </w:t>
      </w:r>
      <w:r w:rsidRPr="00CE6FC9">
        <w:t>éventuellement déléguée</w:t>
      </w:r>
      <w:r w:rsidR="00247C11">
        <w:t>s</w:t>
      </w:r>
      <w:r w:rsidRPr="00CE6FC9">
        <w:t xml:space="preserve"> à un tiers, en amont </w:t>
      </w:r>
      <w:r>
        <w:t xml:space="preserve">ou en aval de l'hospitalisation, </w:t>
      </w:r>
    </w:p>
    <w:p w:rsidR="00230C87" w:rsidRDefault="00E85A3D" w:rsidP="00230C87">
      <w:pPr>
        <w:pStyle w:val="Paragraphedeliste"/>
        <w:numPr>
          <w:ilvl w:val="0"/>
          <w:numId w:val="4"/>
        </w:numPr>
      </w:pPr>
      <w:r>
        <w:t>l’attribution d’</w:t>
      </w:r>
      <w:r w:rsidR="00230C87" w:rsidRPr="00CE6FC9">
        <w:t>autorisations d'activité de soins et d'équipements matériels lourds à des group</w:t>
      </w:r>
      <w:r w:rsidR="00230C87">
        <w:t xml:space="preserve">ements </w:t>
      </w:r>
      <w:r w:rsidR="00230C87" w:rsidRPr="00CE6FC9">
        <w:t xml:space="preserve">constitués d'établissements de santé ou de professionnels </w:t>
      </w:r>
      <w:r w:rsidR="00230C87">
        <w:t xml:space="preserve">de santé, et </w:t>
      </w:r>
    </w:p>
    <w:p w:rsidR="00230C87" w:rsidRDefault="00230C87" w:rsidP="00594414">
      <w:pPr>
        <w:pStyle w:val="Paragraphedeliste"/>
        <w:numPr>
          <w:ilvl w:val="0"/>
          <w:numId w:val="4"/>
        </w:numPr>
      </w:pPr>
      <w:r>
        <w:t xml:space="preserve">l'intervention des </w:t>
      </w:r>
      <w:r w:rsidRPr="00CE6FC9">
        <w:t>prestataires de service et distributeurs de matériels pour la dispens</w:t>
      </w:r>
      <w:r w:rsidR="00E85A3D">
        <w:t>ation</w:t>
      </w:r>
      <w:r w:rsidRPr="00CE6FC9">
        <w:t xml:space="preserve"> de dialys</w:t>
      </w:r>
      <w:r w:rsidR="00E85A3D">
        <w:t>at</w:t>
      </w:r>
      <w:r w:rsidRPr="00CE6FC9">
        <w:t xml:space="preserve"> à domicile.</w:t>
      </w:r>
    </w:p>
    <w:p w:rsidR="002847B9" w:rsidRPr="007E0D36" w:rsidRDefault="002847B9" w:rsidP="002847B9">
      <w:r w:rsidRPr="002847B9">
        <w:t xml:space="preserve">L’article 51 de la LFSS pour 2018 </w:t>
      </w:r>
      <w:r>
        <w:t xml:space="preserve">ne </w:t>
      </w:r>
      <w:r w:rsidRPr="002847B9">
        <w:t>permet</w:t>
      </w:r>
      <w:r>
        <w:t xml:space="preserve"> pas de déroger aux dispositions relatives aux compétences des professionnels de santé</w:t>
      </w:r>
      <w:r w:rsidR="00A01B19">
        <w:t>,</w:t>
      </w:r>
      <w:r w:rsidR="00247C11">
        <w:t xml:space="preserve"> </w:t>
      </w:r>
      <w:r w:rsidR="00A01B19">
        <w:t>contrairement aux</w:t>
      </w:r>
      <w:r w:rsidR="00BE4B34">
        <w:t xml:space="preserve"> protocoles de coopération </w:t>
      </w:r>
      <w:r w:rsidR="009701DC">
        <w:t>prévus par l’</w:t>
      </w:r>
      <w:r w:rsidRPr="002847B9">
        <w:t>article 51 de la loi HPST du 21 juillet 2009</w:t>
      </w:r>
      <w:r>
        <w:t>.</w:t>
      </w:r>
      <w:r w:rsidR="00544CD4">
        <w:t xml:space="preserve"> </w:t>
      </w:r>
    </w:p>
    <w:p w:rsidR="008F6342" w:rsidRPr="00970A4C" w:rsidRDefault="008F6342" w:rsidP="00E608A3">
      <w:pPr>
        <w:shd w:val="clear" w:color="auto" w:fill="8DB3E2" w:themeFill="text2" w:themeFillTint="66"/>
        <w:rPr>
          <w:b/>
        </w:rPr>
      </w:pPr>
      <w:r w:rsidRPr="00970A4C">
        <w:rPr>
          <w:b/>
        </w:rPr>
        <w:t>Quelle est la gouvernance</w:t>
      </w:r>
      <w:r w:rsidR="00FB5F6D">
        <w:rPr>
          <w:b/>
        </w:rPr>
        <w:t xml:space="preserve"> </w:t>
      </w:r>
      <w:r w:rsidRPr="00970A4C">
        <w:rPr>
          <w:b/>
        </w:rPr>
        <w:t>du dispositif ?</w:t>
      </w:r>
    </w:p>
    <w:p w:rsidR="00FF2C77" w:rsidRDefault="00E85A3D" w:rsidP="00FF2C77">
      <w:r>
        <w:t>L</w:t>
      </w:r>
      <w:r w:rsidR="00970A4C">
        <w:t>e conseil stratégique</w:t>
      </w:r>
      <w:r>
        <w:t xml:space="preserve"> est</w:t>
      </w:r>
      <w:r w:rsidR="00970A4C">
        <w:t xml:space="preserve"> charg</w:t>
      </w:r>
      <w:r>
        <w:t>é</w:t>
      </w:r>
      <w:r w:rsidR="00970A4C">
        <w:t xml:space="preserve"> de donner les grandes orientations </w:t>
      </w:r>
      <w:r w:rsidR="0080073E">
        <w:t>du dispositif et de formuler des avis en vue de la généralisation des expérimentations.</w:t>
      </w:r>
      <w:r>
        <w:t xml:space="preserve"> Il est présidé par la ministre des solidarités et de la santé</w:t>
      </w:r>
    </w:p>
    <w:p w:rsidR="007275EF" w:rsidRDefault="00030205" w:rsidP="00FB5F6D">
      <w:r>
        <w:lastRenderedPageBreak/>
        <w:t xml:space="preserve">Le comité technique </w:t>
      </w:r>
      <w:r w:rsidR="00FB5F6D">
        <w:t>émet un avis sur ces expérimentations</w:t>
      </w:r>
      <w:r w:rsidR="00594414">
        <w:t xml:space="preserve"> qui conditionne leur autorisation</w:t>
      </w:r>
      <w:r w:rsidR="00247C11">
        <w:t xml:space="preserve"> éventuelle</w:t>
      </w:r>
      <w:r w:rsidR="00594414">
        <w:t>. Il examine notamment</w:t>
      </w:r>
      <w:r w:rsidR="00FB5F6D">
        <w:t xml:space="preserve"> leur mode de financement </w:t>
      </w:r>
      <w:r w:rsidR="00594414">
        <w:t>et</w:t>
      </w:r>
      <w:r w:rsidR="00FB5F6D">
        <w:t xml:space="preserve"> leurs modalités d’évaluation et détermine leur champ d’application territorial. </w:t>
      </w:r>
    </w:p>
    <w:p w:rsidR="00594414" w:rsidRDefault="00594414" w:rsidP="00FB5F6D">
      <w:r>
        <w:t xml:space="preserve">Une équipe nationale d’appui, </w:t>
      </w:r>
      <w:r w:rsidR="00247C11">
        <w:t>sous la responsabilité du</w:t>
      </w:r>
      <w:r>
        <w:t xml:space="preserve"> rapporteur général du dispositif, organise le travail du conseil stratégique et du comité technique.</w:t>
      </w:r>
    </w:p>
    <w:p w:rsidR="00594414" w:rsidRDefault="00594414" w:rsidP="00FB5F6D">
      <w:r>
        <w:t>En région, les</w:t>
      </w:r>
      <w:r w:rsidR="00A01B19">
        <w:t xml:space="preserve"> agences régionales de santé (</w:t>
      </w:r>
      <w:r>
        <w:t>ARS</w:t>
      </w:r>
      <w:r w:rsidR="00A01B19">
        <w:t>)</w:t>
      </w:r>
      <w:r>
        <w:t xml:space="preserve"> pilotent le dispositif en </w:t>
      </w:r>
      <w:r w:rsidR="00247C11">
        <w:t>lien</w:t>
      </w:r>
      <w:r>
        <w:t xml:space="preserve"> avec le</w:t>
      </w:r>
      <w:r w:rsidR="00230C87">
        <w:t xml:space="preserve"> réseau </w:t>
      </w:r>
      <w:r>
        <w:t>d</w:t>
      </w:r>
      <w:r w:rsidR="00A57E33">
        <w:t>e l</w:t>
      </w:r>
      <w:r>
        <w:t>’assurance maladie</w:t>
      </w:r>
      <w:r w:rsidR="00E31F4A">
        <w:t xml:space="preserve"> et l’équipe nationale d’appui</w:t>
      </w:r>
      <w:r>
        <w:t>.</w:t>
      </w:r>
    </w:p>
    <w:p w:rsidR="00A01B19" w:rsidRDefault="00A01B19" w:rsidP="00A01B19">
      <w:pPr>
        <w:shd w:val="clear" w:color="auto" w:fill="8DB3E2" w:themeFill="text2" w:themeFillTint="66"/>
        <w:rPr>
          <w:b/>
        </w:rPr>
      </w:pPr>
      <w:r w:rsidRPr="00E17B82">
        <w:rPr>
          <w:b/>
        </w:rPr>
        <w:t>Qui peut déposer un dossier </w:t>
      </w:r>
      <w:r>
        <w:rPr>
          <w:b/>
        </w:rPr>
        <w:t xml:space="preserve">d’expérimentation </w:t>
      </w:r>
      <w:r w:rsidRPr="00E17B82">
        <w:rPr>
          <w:b/>
        </w:rPr>
        <w:t>?</w:t>
      </w:r>
    </w:p>
    <w:p w:rsidR="00A01B19" w:rsidRDefault="00A01B19" w:rsidP="00A01B19">
      <w:r>
        <w:t xml:space="preserve">Il n’existe aucune restriction concernant le statut juridique des porteurs de projets. </w:t>
      </w:r>
    </w:p>
    <w:p w:rsidR="00A01B19" w:rsidRDefault="00A01B19" w:rsidP="00A01B19">
      <w:r>
        <w:t xml:space="preserve">Les associations d’usagers, les </w:t>
      </w:r>
      <w:r w:rsidRPr="00897D43">
        <w:t xml:space="preserve">établissements de santé (publics ou privés), </w:t>
      </w:r>
      <w:r>
        <w:t>les fédérations et syndicats</w:t>
      </w:r>
      <w:r w:rsidRPr="00897D43">
        <w:t xml:space="preserve">, </w:t>
      </w:r>
      <w:r>
        <w:t>les professionnels de santé, l</w:t>
      </w:r>
      <w:r w:rsidRPr="00897D43">
        <w:t xml:space="preserve">es </w:t>
      </w:r>
      <w:r w:rsidR="00FC4E98">
        <w:t>entreprises</w:t>
      </w:r>
      <w:r>
        <w:t>, les professionnels de l’aide à domicile, les organismes complémentaires et les collectivités territoriales figurent ainsi parmi les potentiels futurs porteurs de projets.</w:t>
      </w:r>
    </w:p>
    <w:p w:rsidR="00A01B19" w:rsidRPr="00E17B82" w:rsidRDefault="00A01B19" w:rsidP="00A01B19">
      <w:pPr>
        <w:shd w:val="clear" w:color="auto" w:fill="8DB3E2" w:themeFill="text2" w:themeFillTint="66"/>
        <w:rPr>
          <w:b/>
        </w:rPr>
      </w:pPr>
      <w:r w:rsidRPr="00E17B82">
        <w:rPr>
          <w:b/>
        </w:rPr>
        <w:t>Quel dispositif est mis en place pour la déclaration des éventuels liens d’intérêt ?</w:t>
      </w:r>
    </w:p>
    <w:p w:rsidR="00A01B19" w:rsidRDefault="00A01B19" w:rsidP="00A01B19">
      <w:r>
        <w:t>Le porteur de projet lors de la rédaction du cahier des charges, en lien avec l’ARS ou</w:t>
      </w:r>
      <w:r w:rsidRPr="00DC5EA9">
        <w:t xml:space="preserve"> l’équipe nationale d’appui du dispositif</w:t>
      </w:r>
      <w:r>
        <w:t xml:space="preserve">, </w:t>
      </w:r>
      <w:r w:rsidRPr="00664C18">
        <w:t>précise l</w:t>
      </w:r>
      <w:r>
        <w:t>es profession</w:t>
      </w:r>
      <w:r w:rsidRPr="00664C18">
        <w:t xml:space="preserve">s ou structures qui </w:t>
      </w:r>
      <w:r>
        <w:t>devront compléter</w:t>
      </w:r>
      <w:r w:rsidRPr="00664C18">
        <w:t xml:space="preserve"> une déclaration</w:t>
      </w:r>
      <w:r>
        <w:t>,</w:t>
      </w:r>
      <w:r w:rsidRPr="00664C18">
        <w:t xml:space="preserve"> </w:t>
      </w:r>
      <w:r>
        <w:t>portant sur une période de 5 ans et</w:t>
      </w:r>
      <w:r w:rsidRPr="00664C18">
        <w:t xml:space="preserve"> mentionnant, le cas échéant, les liens d’intérêts</w:t>
      </w:r>
      <w:r w:rsidRPr="0075214C">
        <w:t xml:space="preserve"> </w:t>
      </w:r>
      <w:r>
        <w:t>avec des industries de santé.</w:t>
      </w:r>
      <w:r w:rsidRPr="0075214C">
        <w:t xml:space="preserve"> </w:t>
      </w:r>
    </w:p>
    <w:p w:rsidR="00A01B19" w:rsidRDefault="00A01B19" w:rsidP="00A01B19">
      <w:r>
        <w:t>Cette liste pourra être amendée par</w:t>
      </w:r>
      <w:r w:rsidRPr="00DC5EA9">
        <w:t xml:space="preserve"> </w:t>
      </w:r>
      <w:r>
        <w:t>le comité technique.</w:t>
      </w:r>
    </w:p>
    <w:p w:rsidR="00A01B19" w:rsidRDefault="00A01B19" w:rsidP="00A01B19">
      <w:r>
        <w:t>Avant la mise en œuvre effective de l’expérimentation, l’ensemble des participants concernés devront transmettre leur déclaration à l’ARS compétente.</w:t>
      </w:r>
    </w:p>
    <w:p w:rsidR="0058196A" w:rsidRDefault="0058196A" w:rsidP="00A01B19"/>
    <w:p w:rsidR="00FF2C77" w:rsidRPr="007E0D36" w:rsidRDefault="00503623" w:rsidP="007E0D36">
      <w:pPr>
        <w:shd w:val="clear" w:color="auto" w:fill="8DB3E2" w:themeFill="text2" w:themeFillTint="66"/>
        <w:rPr>
          <w:b/>
        </w:rPr>
      </w:pPr>
      <w:r>
        <w:rPr>
          <w:b/>
        </w:rPr>
        <w:t xml:space="preserve">A qui dois-je </w:t>
      </w:r>
      <w:r w:rsidR="00FF2C77" w:rsidRPr="007E0D36">
        <w:rPr>
          <w:b/>
        </w:rPr>
        <w:t>adresser un dossier d’expérimentation ?</w:t>
      </w:r>
    </w:p>
    <w:p w:rsidR="007E0D36" w:rsidRDefault="007E0D36" w:rsidP="00E17B82">
      <w:r w:rsidRPr="007E0D36">
        <w:t xml:space="preserve">Les acteurs portant un projet </w:t>
      </w:r>
      <w:r w:rsidR="00E85A3D" w:rsidRPr="007E0D36">
        <w:t xml:space="preserve">d’expérimentation </w:t>
      </w:r>
      <w:r w:rsidRPr="007E0D36">
        <w:t xml:space="preserve">local </w:t>
      </w:r>
      <w:r w:rsidR="0020784E">
        <w:t xml:space="preserve">ou régional </w:t>
      </w:r>
      <w:r w:rsidRPr="007E0D36">
        <w:t xml:space="preserve">pourront </w:t>
      </w:r>
      <w:r w:rsidR="00A9249C">
        <w:t>déposer leur lettre d’intention</w:t>
      </w:r>
      <w:r w:rsidRPr="007E0D36">
        <w:t xml:space="preserve"> à </w:t>
      </w:r>
      <w:r w:rsidR="00A01B19">
        <w:t>l’</w:t>
      </w:r>
      <w:r w:rsidRPr="007E0D36">
        <w:t xml:space="preserve">ARS concernée, les projets </w:t>
      </w:r>
      <w:r w:rsidR="0020784E">
        <w:t xml:space="preserve">interrégionaux ou </w:t>
      </w:r>
      <w:r w:rsidRPr="007E0D36">
        <w:t>nationaux étant à adresser au rapporteur général du dispositif, placé directement auprès de la ministre</w:t>
      </w:r>
      <w:r w:rsidR="00786609">
        <w:t xml:space="preserve"> (</w:t>
      </w:r>
      <w:r w:rsidR="009701DC">
        <w:rPr>
          <w:color w:val="00B0F0"/>
          <w:u w:val="single"/>
        </w:rPr>
        <w:t>RG</w:t>
      </w:r>
      <w:r w:rsidR="0058196A">
        <w:rPr>
          <w:color w:val="00B0F0"/>
          <w:u w:val="single"/>
        </w:rPr>
        <w:t>-</w:t>
      </w:r>
      <w:r w:rsidR="00EF7368">
        <w:rPr>
          <w:color w:val="00B0F0"/>
          <w:u w:val="single"/>
        </w:rPr>
        <w:t>ART</w:t>
      </w:r>
      <w:r w:rsidR="0058196A">
        <w:rPr>
          <w:color w:val="00B0F0"/>
          <w:u w:val="single"/>
        </w:rPr>
        <w:t>51</w:t>
      </w:r>
      <w:r w:rsidR="009701DC">
        <w:rPr>
          <w:color w:val="00B0F0"/>
          <w:u w:val="single"/>
        </w:rPr>
        <w:t>@sante.gouv.fr</w:t>
      </w:r>
      <w:r w:rsidR="00786609">
        <w:t>)</w:t>
      </w:r>
      <w:r w:rsidRPr="007E0D36">
        <w:t>.</w:t>
      </w:r>
    </w:p>
    <w:p w:rsidR="00FF2C77" w:rsidRDefault="00A01B19" w:rsidP="0020784E">
      <w:pPr>
        <w:shd w:val="clear" w:color="auto" w:fill="8DB3E2" w:themeFill="text2" w:themeFillTint="66"/>
        <w:rPr>
          <w:b/>
        </w:rPr>
      </w:pPr>
      <w:r>
        <w:rPr>
          <w:b/>
        </w:rPr>
        <w:t>Que contient la</w:t>
      </w:r>
      <w:r w:rsidR="0020784E" w:rsidRPr="0020784E">
        <w:rPr>
          <w:b/>
        </w:rPr>
        <w:t xml:space="preserve"> lettre d’intention</w:t>
      </w:r>
      <w:r w:rsidR="0020784E">
        <w:rPr>
          <w:b/>
        </w:rPr>
        <w:t xml:space="preserve"> ? </w:t>
      </w:r>
    </w:p>
    <w:p w:rsidR="004F4680" w:rsidRPr="004F4680" w:rsidRDefault="0020784E" w:rsidP="0020784E">
      <w:r w:rsidRPr="004F4680">
        <w:t>La lettre d’intention constitue le premier document</w:t>
      </w:r>
      <w:r w:rsidR="004F4680" w:rsidRPr="004F4680">
        <w:t xml:space="preserve"> </w:t>
      </w:r>
      <w:r w:rsidRPr="004F4680">
        <w:t>formalisant le projet d’expérimentation</w:t>
      </w:r>
      <w:r w:rsidR="004F4680" w:rsidRPr="004F4680">
        <w:t xml:space="preserve">. </w:t>
      </w:r>
      <w:r w:rsidR="00E85A3D">
        <w:t>Il s’agit d’un document court qui permet de donner les premiers éléments du projet.</w:t>
      </w:r>
      <w:r w:rsidR="00E85A3D" w:rsidRPr="004F4680">
        <w:t xml:space="preserve"> </w:t>
      </w:r>
      <w:r w:rsidR="00FC4E98">
        <w:t>Il est souhaitable que c</w:t>
      </w:r>
      <w:r w:rsidR="004F4680" w:rsidRPr="004F4680">
        <w:t xml:space="preserve">ette lettre </w:t>
      </w:r>
      <w:r w:rsidR="00FC4E98">
        <w:t>soit</w:t>
      </w:r>
      <w:r w:rsidR="004F4680" w:rsidRPr="004F4680">
        <w:t xml:space="preserve"> signée par l’ensemble des partenaires soutenant le projet.</w:t>
      </w:r>
    </w:p>
    <w:p w:rsidR="0020784E" w:rsidRDefault="004F4680" w:rsidP="0020784E">
      <w:r w:rsidRPr="004F4680">
        <w:t>Cette lettre d’intention décrit la nature et les objectifs de l’</w:t>
      </w:r>
      <w:r>
        <w:t>expérimentation. Devront également être mentionnés l’impact attendu sur les organisations, le</w:t>
      </w:r>
      <w:r w:rsidR="006C5D10">
        <w:t>s</w:t>
      </w:r>
      <w:r w:rsidR="00E85A3D">
        <w:t xml:space="preserve"> </w:t>
      </w:r>
      <w:r w:rsidR="006C5D10">
        <w:t>principes</w:t>
      </w:r>
      <w:r w:rsidR="00E85A3D">
        <w:t xml:space="preserve"> du</w:t>
      </w:r>
      <w:r>
        <w:t xml:space="preserve"> modèle économique</w:t>
      </w:r>
      <w:r w:rsidR="00A9249C">
        <w:t xml:space="preserve"> </w:t>
      </w:r>
      <w:r w:rsidR="00E85A3D">
        <w:t xml:space="preserve">escompté </w:t>
      </w:r>
      <w:r w:rsidR="00A9249C">
        <w:t>et les modalités de conduite d’expérimentation envisagées.</w:t>
      </w:r>
      <w:r>
        <w:t xml:space="preserve"> </w:t>
      </w:r>
      <w:r w:rsidR="00DD08D3">
        <w:t xml:space="preserve">Un modèle de lettre d’intention est disponible </w:t>
      </w:r>
      <w:r w:rsidR="00DD08D3" w:rsidRPr="00AA0F58">
        <w:rPr>
          <w:color w:val="00B0F0"/>
          <w:highlight w:val="yellow"/>
          <w:u w:val="single"/>
        </w:rPr>
        <w:t>ici</w:t>
      </w:r>
      <w:r w:rsidR="00DD08D3">
        <w:t xml:space="preserve">. </w:t>
      </w:r>
    </w:p>
    <w:p w:rsidR="004F4680" w:rsidRPr="004F4680" w:rsidRDefault="004F4680" w:rsidP="0020784E">
      <w:r>
        <w:lastRenderedPageBreak/>
        <w:t>Des échanges s’engageront</w:t>
      </w:r>
      <w:r w:rsidR="009C64D1">
        <w:t>,</w:t>
      </w:r>
      <w:r>
        <w:t xml:space="preserve"> sur la base de cette lettre</w:t>
      </w:r>
      <w:r w:rsidR="009C64D1">
        <w:t xml:space="preserve"> d’intention,</w:t>
      </w:r>
      <w:r>
        <w:t xml:space="preserve"> afin de </w:t>
      </w:r>
      <w:r w:rsidR="00C04E86">
        <w:t>compléter</w:t>
      </w:r>
      <w:r>
        <w:t xml:space="preserve"> le projet d’expérimentation en lien soit avec l’ARS, soit avec </w:t>
      </w:r>
      <w:r w:rsidR="00C04E86">
        <w:t>l’équipe nationale d’appui</w:t>
      </w:r>
      <w:r>
        <w:t xml:space="preserve"> du dispositif</w:t>
      </w:r>
      <w:r w:rsidR="009C64D1">
        <w:t xml:space="preserve">, </w:t>
      </w:r>
      <w:r w:rsidR="006C5D10">
        <w:t xml:space="preserve">pour constituer ce qui deviendra le projet de cahier des charges, </w:t>
      </w:r>
      <w:r w:rsidR="00544CD4">
        <w:t xml:space="preserve">si le projet relève bien de l’article 51 et </w:t>
      </w:r>
      <w:r w:rsidR="009C64D1">
        <w:t>s</w:t>
      </w:r>
      <w:r w:rsidR="00544CD4">
        <w:t>’</w:t>
      </w:r>
      <w:r w:rsidR="009C64D1">
        <w:t>i</w:t>
      </w:r>
      <w:r w:rsidR="00544CD4">
        <w:t>l</w:t>
      </w:r>
      <w:r w:rsidR="009C64D1">
        <w:t xml:space="preserve"> </w:t>
      </w:r>
      <w:r w:rsidR="00544CD4">
        <w:t xml:space="preserve">présente un stade de </w:t>
      </w:r>
      <w:r w:rsidR="009C64D1">
        <w:t xml:space="preserve">maturité </w:t>
      </w:r>
      <w:r w:rsidR="00544CD4">
        <w:t>suffisant</w:t>
      </w:r>
      <w:r w:rsidR="009C64D1">
        <w:t>.</w:t>
      </w:r>
      <w:r>
        <w:t xml:space="preserve"> </w:t>
      </w:r>
    </w:p>
    <w:p w:rsidR="00FF2C77" w:rsidRPr="009C64D1" w:rsidRDefault="00A01B19" w:rsidP="009C64D1">
      <w:pPr>
        <w:shd w:val="clear" w:color="auto" w:fill="8DB3E2" w:themeFill="text2" w:themeFillTint="66"/>
        <w:rPr>
          <w:b/>
        </w:rPr>
      </w:pPr>
      <w:r>
        <w:rPr>
          <w:b/>
        </w:rPr>
        <w:t>Comment se structure le</w:t>
      </w:r>
      <w:r w:rsidR="009C64D1">
        <w:rPr>
          <w:b/>
        </w:rPr>
        <w:t xml:space="preserve"> </w:t>
      </w:r>
      <w:r w:rsidR="00FF2C77" w:rsidRPr="009C64D1">
        <w:rPr>
          <w:b/>
        </w:rPr>
        <w:t xml:space="preserve">cahier des charges ? </w:t>
      </w:r>
    </w:p>
    <w:p w:rsidR="009C64D1" w:rsidRDefault="009C64D1" w:rsidP="00E17B82">
      <w:r>
        <w:t xml:space="preserve">Le cahier des charges est le document annexé à l’arrêté d’autorisation de l’expérimentation. </w:t>
      </w:r>
    </w:p>
    <w:p w:rsidR="00E17B82" w:rsidRDefault="00E17B82" w:rsidP="00E17B82">
      <w:r>
        <w:t>Le cahier des charges</w:t>
      </w:r>
      <w:r w:rsidR="009C64D1">
        <w:t xml:space="preserve"> détaille </w:t>
      </w:r>
      <w:r>
        <w:t xml:space="preserve">le contenu de l'expérimentation, sa durée, son objet et sa catégorie, les dérogations aux dispositions réglementaires, son champ d’application territorial, la nature des informations recueillies sur les patients pris </w:t>
      </w:r>
      <w:r w:rsidR="009C64D1">
        <w:t>en charge, les modalités de fi</w:t>
      </w:r>
      <w:r>
        <w:t xml:space="preserve">nancement, d’évaluation, les professions, structures ou organismes participants appelés à établir une déclaration de liens d'intérêts. </w:t>
      </w:r>
      <w:r w:rsidR="009C64D1">
        <w:t>Les éventuelles tarifications et rémunérations expérimentales y sont précisées.</w:t>
      </w:r>
    </w:p>
    <w:p w:rsidR="00CE6FC9" w:rsidRDefault="009C64D1" w:rsidP="00CE6FC9">
      <w:r>
        <w:t xml:space="preserve">Le </w:t>
      </w:r>
      <w:r w:rsidR="00341F97">
        <w:t xml:space="preserve">projet de </w:t>
      </w:r>
      <w:r>
        <w:t>cahier des charges est rédigé</w:t>
      </w:r>
      <w:r w:rsidR="00DD08D3">
        <w:t>,</w:t>
      </w:r>
      <w:r>
        <w:t xml:space="preserve"> </w:t>
      </w:r>
      <w:r w:rsidR="00DD08D3">
        <w:t xml:space="preserve">à partir de la lettre d’intention, </w:t>
      </w:r>
      <w:r>
        <w:t xml:space="preserve">par le porteur de projet en lien </w:t>
      </w:r>
      <w:r w:rsidRPr="009C64D1">
        <w:t xml:space="preserve">soit avec l’ARS, soit avec </w:t>
      </w:r>
      <w:r w:rsidR="00C04E86" w:rsidRPr="00C04E86">
        <w:t xml:space="preserve">l’équipe nationale d’appui </w:t>
      </w:r>
      <w:r w:rsidRPr="009C64D1">
        <w:t>du dispositif</w:t>
      </w:r>
      <w:r w:rsidR="00641F22">
        <w:t xml:space="preserve">. Lorsque le projet de cahier des charges est considéré comme suffisamment abouti, il est transmis au comité technique. Celui-ci peut amender le cahier des charges, notamment </w:t>
      </w:r>
      <w:r w:rsidR="00CE6FC9">
        <w:t>le champ d’application territorial</w:t>
      </w:r>
      <w:r w:rsidR="00341F97">
        <w:t xml:space="preserve"> et le mode de financement</w:t>
      </w:r>
      <w:r w:rsidR="00641F22">
        <w:t>.</w:t>
      </w:r>
    </w:p>
    <w:p w:rsidR="00A01B19" w:rsidRDefault="009701DC" w:rsidP="00A01B19">
      <w:pPr>
        <w:shd w:val="clear" w:color="auto" w:fill="8DB3E2" w:themeFill="text2" w:themeFillTint="66"/>
        <w:rPr>
          <w:b/>
        </w:rPr>
      </w:pPr>
      <w:r>
        <w:rPr>
          <w:b/>
        </w:rPr>
        <w:t>Quand un</w:t>
      </w:r>
      <w:r w:rsidR="00A01B19" w:rsidRPr="00A5670D">
        <w:rPr>
          <w:b/>
        </w:rPr>
        <w:t xml:space="preserve"> appel à manifestation </w:t>
      </w:r>
      <w:r w:rsidR="00A01B19">
        <w:rPr>
          <w:b/>
        </w:rPr>
        <w:t xml:space="preserve">d’intérêt est-il lancé </w:t>
      </w:r>
      <w:r w:rsidR="00A01B19" w:rsidRPr="00A5670D">
        <w:rPr>
          <w:b/>
        </w:rPr>
        <w:t>?</w:t>
      </w:r>
    </w:p>
    <w:p w:rsidR="00A01B19" w:rsidRDefault="00A01B19" w:rsidP="00A01B19">
      <w:pPr>
        <w:jc w:val="both"/>
      </w:pPr>
      <w:r>
        <w:t xml:space="preserve">Le comité technique et les agences régionales de santé </w:t>
      </w:r>
      <w:r w:rsidRPr="00707638">
        <w:t>peu</w:t>
      </w:r>
      <w:r>
        <w:t>ven</w:t>
      </w:r>
      <w:r w:rsidRPr="00707638">
        <w:t>t être amené</w:t>
      </w:r>
      <w:r>
        <w:t>s</w:t>
      </w:r>
      <w:r w:rsidRPr="00707638">
        <w:t xml:space="preserve"> à lancer un appel à manifestation </w:t>
      </w:r>
      <w:r>
        <w:t xml:space="preserve">d’intérêt </w:t>
      </w:r>
      <w:r w:rsidRPr="00707638">
        <w:t xml:space="preserve">afin de </w:t>
      </w:r>
      <w:proofErr w:type="spellStart"/>
      <w:r w:rsidRPr="00707638">
        <w:t>co</w:t>
      </w:r>
      <w:proofErr w:type="spellEnd"/>
      <w:r w:rsidRPr="00707638">
        <w:t>-constru</w:t>
      </w:r>
      <w:r>
        <w:t xml:space="preserve">ire avec des acteurs de terrain un projet </w:t>
      </w:r>
      <w:r w:rsidR="009701DC">
        <w:t xml:space="preserve">de cahier des charges </w:t>
      </w:r>
      <w:r>
        <w:t>répondant au mieux aux préoccupations et tenant compte des contraintes existantes.</w:t>
      </w:r>
    </w:p>
    <w:p w:rsidR="00A01B19" w:rsidRPr="00707638" w:rsidRDefault="00A01B19" w:rsidP="00A01B19">
      <w:pPr>
        <w:jc w:val="both"/>
      </w:pPr>
      <w:r>
        <w:t>Le projet de cahier des charges est alors rédigé par un groupe de travail mêlant personnel administratif et acteurs des champs de la santé, du médico-social et du social</w:t>
      </w:r>
      <w:r w:rsidR="00ED62CC">
        <w:t xml:space="preserve"> retenus à l’issue de la procédure</w:t>
      </w:r>
      <w:r>
        <w:t>.</w:t>
      </w:r>
    </w:p>
    <w:p w:rsidR="00A01B19" w:rsidRDefault="00A01B19" w:rsidP="00A01B19">
      <w:pPr>
        <w:shd w:val="clear" w:color="auto" w:fill="8DB3E2" w:themeFill="text2" w:themeFillTint="66"/>
        <w:rPr>
          <w:b/>
        </w:rPr>
      </w:pPr>
      <w:r>
        <w:rPr>
          <w:b/>
        </w:rPr>
        <w:t xml:space="preserve">Dans quel cadre </w:t>
      </w:r>
      <w:r w:rsidRPr="00A5670D">
        <w:rPr>
          <w:b/>
        </w:rPr>
        <w:t>un appel à projets</w:t>
      </w:r>
      <w:r>
        <w:rPr>
          <w:b/>
        </w:rPr>
        <w:t xml:space="preserve"> est-il lancé</w:t>
      </w:r>
      <w:r w:rsidRPr="00A5670D">
        <w:rPr>
          <w:b/>
        </w:rPr>
        <w:t> ?</w:t>
      </w:r>
    </w:p>
    <w:p w:rsidR="00A01B19" w:rsidRDefault="00A01B19" w:rsidP="00A01B19">
      <w:r>
        <w:t xml:space="preserve">Lorsque les participants à l’expérimentation n’ont pas été préalablement identifiés, un </w:t>
      </w:r>
      <w:r w:rsidRPr="00707638">
        <w:t>appel à projet</w:t>
      </w:r>
      <w:r>
        <w:t>s</w:t>
      </w:r>
      <w:r w:rsidRPr="00707638">
        <w:t xml:space="preserve"> est </w:t>
      </w:r>
      <w:r>
        <w:t xml:space="preserve">prévu en même temps que le cahier des charges et est annexé à l’arrêté d’autorisation. </w:t>
      </w:r>
    </w:p>
    <w:p w:rsidR="00A01B19" w:rsidRDefault="00A01B19" w:rsidP="00A01B19">
      <w:r>
        <w:t>Dans tous les cas, les acteurs souhaitant participer à l’expérimentation envoient leur candidature à l’agence régionale de santé compétente.</w:t>
      </w:r>
    </w:p>
    <w:p w:rsidR="00A01B19" w:rsidRDefault="00A01B19" w:rsidP="00A01B19">
      <w:r>
        <w:t>Si l’expérimentation est locale ou régionale, c’est par un arrêté du directeur général de l’agence régionale de santé que les acteurs sélectionnés seront autorisés à participer à l’expérimentation après sélection par l’ARS</w:t>
      </w:r>
      <w:r w:rsidR="00ED62CC">
        <w:t xml:space="preserve"> après avis favorable du comité technique</w:t>
      </w:r>
      <w:r>
        <w:t>.</w:t>
      </w:r>
    </w:p>
    <w:p w:rsidR="00A01B19" w:rsidRPr="00707638" w:rsidRDefault="00A01B19" w:rsidP="00A01B19">
      <w:r w:rsidRPr="007C00A7">
        <w:t xml:space="preserve">Si l’expérimentation est </w:t>
      </w:r>
      <w:r>
        <w:t>inter</w:t>
      </w:r>
      <w:r w:rsidRPr="007C00A7">
        <w:t>régionale</w:t>
      </w:r>
      <w:r>
        <w:t xml:space="preserve"> ou nationale</w:t>
      </w:r>
      <w:r w:rsidRPr="007C00A7">
        <w:t xml:space="preserve">, c’est par un arrêté </w:t>
      </w:r>
      <w:r>
        <w:t>interministériel</w:t>
      </w:r>
      <w:r w:rsidRPr="007C00A7">
        <w:t xml:space="preserve"> que les acteurs sélectionnés seront autorisés à participer à l’expérimentation</w:t>
      </w:r>
      <w:r>
        <w:t xml:space="preserve"> après sélection par le comité technique sur la base des candidatures transmises par l’ARS</w:t>
      </w:r>
      <w:r w:rsidRPr="007C00A7">
        <w:t>.</w:t>
      </w:r>
    </w:p>
    <w:p w:rsidR="00A9249C" w:rsidRDefault="00A9249C" w:rsidP="00DB289E">
      <w:pPr>
        <w:keepNext/>
        <w:shd w:val="clear" w:color="auto" w:fill="8DB3E2" w:themeFill="text2" w:themeFillTint="66"/>
        <w:rPr>
          <w:b/>
        </w:rPr>
      </w:pPr>
      <w:r w:rsidRPr="00E17B82">
        <w:rPr>
          <w:b/>
        </w:rPr>
        <w:lastRenderedPageBreak/>
        <w:t>Quels sont les délais de réponse ?</w:t>
      </w:r>
    </w:p>
    <w:p w:rsidR="00A9249C" w:rsidRDefault="00A9249C" w:rsidP="00DB289E">
      <w:pPr>
        <w:keepNext/>
      </w:pPr>
      <w:r>
        <w:t>Le comité technique</w:t>
      </w:r>
      <w:r w:rsidRPr="00E17B82">
        <w:t xml:space="preserve"> </w:t>
      </w:r>
      <w:r>
        <w:t xml:space="preserve">doit se </w:t>
      </w:r>
      <w:r w:rsidRPr="00E17B82">
        <w:t>prononcer</w:t>
      </w:r>
      <w:r>
        <w:t>,</w:t>
      </w:r>
      <w:r w:rsidRPr="00E17B82">
        <w:t xml:space="preserve"> </w:t>
      </w:r>
      <w:r>
        <w:t xml:space="preserve">sur la base d’un </w:t>
      </w:r>
      <w:r w:rsidR="00341F97">
        <w:t xml:space="preserve">projet de </w:t>
      </w:r>
      <w:r>
        <w:t xml:space="preserve">cahier des charges complété, </w:t>
      </w:r>
      <w:r w:rsidRPr="00E17B82">
        <w:t xml:space="preserve">dans </w:t>
      </w:r>
      <w:r>
        <w:t xml:space="preserve">un </w:t>
      </w:r>
      <w:r w:rsidRPr="00E17B82">
        <w:t>délai de 3 mois</w:t>
      </w:r>
      <w:r>
        <w:t xml:space="preserve"> (</w:t>
      </w:r>
      <w:r w:rsidRPr="00E17B82">
        <w:t xml:space="preserve">4 mois si un avis de la HAS est </w:t>
      </w:r>
      <w:r>
        <w:t>requis).</w:t>
      </w:r>
      <w:r w:rsidR="006C4B7E" w:rsidRPr="006C4B7E">
        <w:t xml:space="preserve"> </w:t>
      </w:r>
      <w:r w:rsidR="006C4B7E">
        <w:t>L</w:t>
      </w:r>
      <w:r w:rsidR="006C4B7E" w:rsidRPr="006C4B7E">
        <w:t>e délai court à partir de la réception par le comité technique du cahier des charges.</w:t>
      </w:r>
    </w:p>
    <w:p w:rsidR="00A9249C" w:rsidRDefault="00A9249C" w:rsidP="00A9249C">
      <w:r>
        <w:t>L’avis du comité technique est réputé favorable</w:t>
      </w:r>
      <w:r w:rsidRPr="00AF635C">
        <w:t xml:space="preserve"> passé </w:t>
      </w:r>
      <w:r>
        <w:t>l</w:t>
      </w:r>
      <w:r w:rsidRPr="00AF635C">
        <w:t>e délai</w:t>
      </w:r>
      <w:r>
        <w:t xml:space="preserve"> imparti.</w:t>
      </w:r>
    </w:p>
    <w:p w:rsidR="00A9249C" w:rsidRDefault="00A9249C" w:rsidP="00A9249C">
      <w:pPr>
        <w:rPr>
          <w:b/>
        </w:rPr>
      </w:pPr>
      <w:r>
        <w:t>L’avis de la HAS est, quant à lui, réputé défavorable passé le délai de 2 mois.</w:t>
      </w:r>
      <w:r w:rsidRPr="00AF635C">
        <w:rPr>
          <w:b/>
        </w:rPr>
        <w:t xml:space="preserve"> </w:t>
      </w:r>
    </w:p>
    <w:p w:rsidR="00A9249C" w:rsidRPr="00A9249C" w:rsidRDefault="00A9249C" w:rsidP="00A9249C">
      <w:pPr>
        <w:shd w:val="clear" w:color="auto" w:fill="8DB3E2" w:themeFill="text2" w:themeFillTint="66"/>
        <w:rPr>
          <w:b/>
        </w:rPr>
      </w:pPr>
      <w:r w:rsidRPr="00E17B82">
        <w:rPr>
          <w:b/>
        </w:rPr>
        <w:t>Sur quels critères seront sélectionnés les projets ?</w:t>
      </w:r>
    </w:p>
    <w:p w:rsidR="00A9249C" w:rsidRDefault="00A9249C" w:rsidP="00341F97">
      <w:pPr>
        <w:jc w:val="both"/>
      </w:pPr>
      <w:r w:rsidRPr="00CE6FC9">
        <w:t>Le</w:t>
      </w:r>
      <w:r>
        <w:t xml:space="preserve">s projets d’expérimentation seront sélectionnés </w:t>
      </w:r>
      <w:r w:rsidR="00341F97">
        <w:t xml:space="preserve">en particulier </w:t>
      </w:r>
      <w:r w:rsidR="00C8713B">
        <w:t>pour</w:t>
      </w:r>
      <w:r>
        <w:t xml:space="preserve"> leur</w:t>
      </w:r>
      <w:r w:rsidRPr="00CE6FC9">
        <w:t xml:space="preserve"> </w:t>
      </w:r>
      <w:r>
        <w:t xml:space="preserve">caractère innovant, </w:t>
      </w:r>
      <w:r w:rsidRPr="00CE6FC9">
        <w:t>e</w:t>
      </w:r>
      <w:r>
        <w:t>ffi</w:t>
      </w:r>
      <w:r w:rsidRPr="00CE6FC9">
        <w:t>cient et reproductible</w:t>
      </w:r>
      <w:r>
        <w:t>.</w:t>
      </w:r>
    </w:p>
    <w:p w:rsidR="00A9249C" w:rsidRDefault="00A9249C" w:rsidP="00A9249C">
      <w:r>
        <w:t>L’amélioration du service rendu à la population, l</w:t>
      </w:r>
      <w:r w:rsidRPr="00CE6FC9">
        <w:t>'équilibre du schéma d</w:t>
      </w:r>
      <w:r>
        <w:t xml:space="preserve">e financement, l’impact sur les organisations, la pertinence des </w:t>
      </w:r>
      <w:r w:rsidRPr="00CE6FC9">
        <w:t>modalités d'évaluation proposées</w:t>
      </w:r>
      <w:r>
        <w:t xml:space="preserve"> et</w:t>
      </w:r>
      <w:r w:rsidRPr="00CE6FC9">
        <w:t xml:space="preserve"> la faisabilité opération</w:t>
      </w:r>
      <w:r>
        <w:t>nelle seront également pris en compte.</w:t>
      </w:r>
    </w:p>
    <w:p w:rsidR="00A9249C" w:rsidRDefault="00A9249C" w:rsidP="00A9249C">
      <w:pPr>
        <w:shd w:val="clear" w:color="auto" w:fill="8DB3E2" w:themeFill="text2" w:themeFillTint="66"/>
        <w:rPr>
          <w:b/>
        </w:rPr>
      </w:pPr>
      <w:r w:rsidRPr="00E17B82">
        <w:rPr>
          <w:b/>
        </w:rPr>
        <w:t>Comment seront autorisés les projets d’expérimentation ?</w:t>
      </w:r>
    </w:p>
    <w:p w:rsidR="00A9249C" w:rsidRPr="00A9249C" w:rsidRDefault="00A9249C" w:rsidP="00B160BE">
      <w:pPr>
        <w:rPr>
          <w:b/>
        </w:rPr>
      </w:pPr>
      <w:r>
        <w:t>Sous réserve d’</w:t>
      </w:r>
      <w:r w:rsidRPr="00CE6FC9">
        <w:t>un avis favorable du comité technique, l'expérimentation peut êt</w:t>
      </w:r>
      <w:r>
        <w:t xml:space="preserve">re </w:t>
      </w:r>
      <w:r w:rsidRPr="00CE6FC9">
        <w:t>autorisée par arrêté du DGARS lorsque le champ d’appli</w:t>
      </w:r>
      <w:r>
        <w:t xml:space="preserve">cation territorial est local ou </w:t>
      </w:r>
      <w:r w:rsidRPr="00CE6FC9">
        <w:t>régional, et par arrêté interministériel si ce champ d’application est interrégional ou national.</w:t>
      </w:r>
    </w:p>
    <w:p w:rsidR="00A9249C" w:rsidRPr="00A9249C" w:rsidRDefault="00A9249C" w:rsidP="00A9249C">
      <w:pPr>
        <w:shd w:val="clear" w:color="auto" w:fill="8DB3E2" w:themeFill="text2" w:themeFillTint="66"/>
        <w:rPr>
          <w:b/>
        </w:rPr>
      </w:pPr>
      <w:r w:rsidRPr="00A9249C">
        <w:rPr>
          <w:b/>
        </w:rPr>
        <w:t>Quelle est la durée des expérimentations ?</w:t>
      </w:r>
    </w:p>
    <w:p w:rsidR="00A9249C" w:rsidRPr="00E17B82" w:rsidRDefault="00A9249C" w:rsidP="00A9249C">
      <w:r>
        <w:t xml:space="preserve">Les expérimentations </w:t>
      </w:r>
      <w:r w:rsidR="00341F97">
        <w:t xml:space="preserve">auront </w:t>
      </w:r>
      <w:r>
        <w:t>une durée maximale de 5 ans.</w:t>
      </w:r>
    </w:p>
    <w:p w:rsidR="00503623" w:rsidRDefault="00503623" w:rsidP="00503623">
      <w:pPr>
        <w:shd w:val="clear" w:color="auto" w:fill="8DB3E2" w:themeFill="text2" w:themeFillTint="66"/>
        <w:rPr>
          <w:b/>
        </w:rPr>
      </w:pPr>
      <w:r w:rsidRPr="00E17B82">
        <w:rPr>
          <w:b/>
        </w:rPr>
        <w:t>Comment financer un projet d’expérimentation ?</w:t>
      </w:r>
    </w:p>
    <w:p w:rsidR="00503623" w:rsidRDefault="00503623" w:rsidP="00503623">
      <w:r>
        <w:t>La loi de financement de la sécurité sociale pour 2018 a créé le fonds</w:t>
      </w:r>
      <w:r w:rsidRPr="00DE64B0">
        <w:t xml:space="preserve"> pour l'innovation du système de santé</w:t>
      </w:r>
      <w:r>
        <w:t>, le</w:t>
      </w:r>
      <w:r w:rsidRPr="00DE64B0">
        <w:t xml:space="preserve"> </w:t>
      </w:r>
      <w:r>
        <w:t xml:space="preserve">FISS. Celui-ci </w:t>
      </w:r>
      <w:r w:rsidR="00C572B9">
        <w:t xml:space="preserve">finance l’évaluation et </w:t>
      </w:r>
      <w:r>
        <w:t xml:space="preserve">peut </w:t>
      </w:r>
      <w:r w:rsidR="00C572B9">
        <w:t>contribuer au financement d</w:t>
      </w:r>
      <w:r>
        <w:t xml:space="preserve">es </w:t>
      </w:r>
      <w:r w:rsidR="00CA131A">
        <w:t xml:space="preserve">éventuels </w:t>
      </w:r>
      <w:r>
        <w:t xml:space="preserve">couts d’amorçage, et </w:t>
      </w:r>
      <w:r w:rsidR="00C572B9">
        <w:t>d</w:t>
      </w:r>
      <w:bookmarkStart w:id="0" w:name="_GoBack"/>
      <w:bookmarkEnd w:id="0"/>
      <w:r>
        <w:t>’ingénierie, ainsi que tout ou partie des expérimentations, notamment lorsque le mode de financement est inédit.</w:t>
      </w:r>
    </w:p>
    <w:p w:rsidR="00503623" w:rsidRPr="00E8628D" w:rsidRDefault="00503623" w:rsidP="00503623">
      <w:r w:rsidRPr="00E8628D">
        <w:t xml:space="preserve">Le comité technique se prononce sur </w:t>
      </w:r>
      <w:r>
        <w:t>l’</w:t>
      </w:r>
      <w:r w:rsidRPr="00E8628D">
        <w:t xml:space="preserve">éligibilité </w:t>
      </w:r>
      <w:r>
        <w:t xml:space="preserve">des expérimentations </w:t>
      </w:r>
      <w:r w:rsidRPr="00E8628D">
        <w:t>au fonds pour l'innova</w:t>
      </w:r>
      <w:r>
        <w:t>tion du système de santé.</w:t>
      </w:r>
    </w:p>
    <w:p w:rsidR="00503623" w:rsidRDefault="00503623" w:rsidP="00503623">
      <w:r>
        <w:t>Pour les projets régionaux, le fonds d’intervention régional, le FIR, peut également être mobilisé</w:t>
      </w:r>
      <w:r w:rsidR="00153637">
        <w:t xml:space="preserve"> notamment pour le </w:t>
      </w:r>
      <w:proofErr w:type="spellStart"/>
      <w:r w:rsidR="00153637">
        <w:t>reporting</w:t>
      </w:r>
      <w:proofErr w:type="spellEnd"/>
      <w:r w:rsidR="00153637">
        <w:t>, l’appui et l’ingénierie</w:t>
      </w:r>
      <w:r>
        <w:t>.</w:t>
      </w:r>
    </w:p>
    <w:p w:rsidR="00A5670D" w:rsidRDefault="00A5670D" w:rsidP="00503623">
      <w:r>
        <w:t>D’autres sources de financements complémentaires peuvent également être envisagées.</w:t>
      </w:r>
    </w:p>
    <w:p w:rsidR="003A26DA" w:rsidRDefault="00AF635C" w:rsidP="00AF635C">
      <w:pPr>
        <w:shd w:val="clear" w:color="auto" w:fill="8DB3E2" w:themeFill="text2" w:themeFillTint="66"/>
        <w:rPr>
          <w:b/>
        </w:rPr>
      </w:pPr>
      <w:r w:rsidRPr="00AF635C">
        <w:rPr>
          <w:b/>
        </w:rPr>
        <w:t>Comment ce nouveau dispositif s’articule ave</w:t>
      </w:r>
      <w:r>
        <w:rPr>
          <w:b/>
        </w:rPr>
        <w:t xml:space="preserve">c </w:t>
      </w:r>
      <w:r w:rsidR="003A26DA" w:rsidRPr="00AF635C">
        <w:rPr>
          <w:b/>
        </w:rPr>
        <w:t>la télémédecine ?</w:t>
      </w:r>
    </w:p>
    <w:p w:rsidR="00003D7C" w:rsidRDefault="00003D7C" w:rsidP="00DD08D3">
      <w:r w:rsidRPr="00003D7C">
        <w:t>La télémédecine est une forme de pratique médicale à distance utilisant les technologies de l’information et de la communication.</w:t>
      </w:r>
      <w:r w:rsidR="00135734">
        <w:t xml:space="preserve"> </w:t>
      </w:r>
      <w:hyperlink r:id="rId8" w:history="1">
        <w:r w:rsidR="00135734" w:rsidRPr="00135734">
          <w:rPr>
            <w:rStyle w:val="Lienhypertexte"/>
          </w:rPr>
          <w:t>Pour en savoir plus.</w:t>
        </w:r>
      </w:hyperlink>
    </w:p>
    <w:p w:rsidR="00DD08D3" w:rsidRDefault="00D66BD8" w:rsidP="00DD08D3">
      <w:r>
        <w:t xml:space="preserve">Les expérimentations relatives à la télésurveillance répondant aux modalités organisationnelles </w:t>
      </w:r>
      <w:r w:rsidR="00C65DA5">
        <w:t>d’ETAPES</w:t>
      </w:r>
      <w:r>
        <w:t xml:space="preserve"> </w:t>
      </w:r>
      <w:r w:rsidR="00FB3907">
        <w:t xml:space="preserve">font </w:t>
      </w:r>
      <w:r>
        <w:t xml:space="preserve">l’objet d’une expérimentation dans le cadre </w:t>
      </w:r>
      <w:r w:rsidR="00FB3907">
        <w:t>de l’article 54 du PLFSS 2018</w:t>
      </w:r>
      <w:r>
        <w:t xml:space="preserve">. </w:t>
      </w:r>
      <w:hyperlink r:id="rId9" w:history="1">
        <w:r w:rsidR="00135734" w:rsidRPr="00135734">
          <w:rPr>
            <w:rStyle w:val="Lienhypertexte"/>
          </w:rPr>
          <w:t>Pour en savoir plus</w:t>
        </w:r>
        <w:r w:rsidR="00135734">
          <w:rPr>
            <w:rStyle w:val="Lienhypertexte"/>
          </w:rPr>
          <w:t xml:space="preserve"> sur ETAPES</w:t>
        </w:r>
        <w:r w:rsidR="00135734" w:rsidRPr="00135734">
          <w:rPr>
            <w:rStyle w:val="Lienhypertexte"/>
          </w:rPr>
          <w:t>.</w:t>
        </w:r>
      </w:hyperlink>
    </w:p>
    <w:p w:rsidR="00B227D8" w:rsidRDefault="00FB3907" w:rsidP="00DD08D3">
      <w:r>
        <w:lastRenderedPageBreak/>
        <w:t>S</w:t>
      </w:r>
      <w:r w:rsidR="00D66BD8">
        <w:t>i le projet d’expérimentation</w:t>
      </w:r>
      <w:r w:rsidR="00C65DA5">
        <w:t>,</w:t>
      </w:r>
      <w:r w:rsidR="00D66BD8">
        <w:t xml:space="preserve"> </w:t>
      </w:r>
      <w:r w:rsidR="00C65DA5">
        <w:t>comportant de la télé</w:t>
      </w:r>
      <w:r w:rsidR="00D66BD8">
        <w:t>surveillance</w:t>
      </w:r>
      <w:r w:rsidR="00C65DA5">
        <w:t>,</w:t>
      </w:r>
      <w:r w:rsidR="00D66BD8">
        <w:t xml:space="preserve"> répond à des modalités </w:t>
      </w:r>
      <w:r w:rsidR="00C65DA5">
        <w:t xml:space="preserve">organisationnelles innovantes </w:t>
      </w:r>
      <w:r>
        <w:t>et différentes du</w:t>
      </w:r>
      <w:r w:rsidR="00C65DA5">
        <w:t xml:space="preserve"> cadre proposé par ETAPES, </w:t>
      </w:r>
      <w:r w:rsidR="007F2ED3">
        <w:t xml:space="preserve">il peut potentiellement </w:t>
      </w:r>
      <w:r w:rsidR="00C65DA5">
        <w:t xml:space="preserve">entrer dans le cadre de </w:t>
      </w:r>
      <w:r>
        <w:t>l’article 51</w:t>
      </w:r>
      <w:r w:rsidR="00C65DA5">
        <w:t>. Une attention particulière sera alors portée sur l’expertise médicale démontrant le bienfondé de l’expérimentation.</w:t>
      </w:r>
      <w:r w:rsidR="00B227D8" w:rsidRPr="00B227D8">
        <w:t xml:space="preserve"> </w:t>
      </w:r>
    </w:p>
    <w:p w:rsidR="001B2D3A" w:rsidRDefault="001B2D3A" w:rsidP="001B2D3A">
      <w:r>
        <w:t xml:space="preserve">S’agissant des actes de téléconsultation et de télé-expertise qui ont vocation à entrer dans le droit commun dès l’année 2018, leur simple prise en charge ne saurait constituer une expérimentation éligible au titre du dispositif article 51. </w:t>
      </w:r>
    </w:p>
    <w:p w:rsidR="001B2D3A" w:rsidRDefault="001B2D3A" w:rsidP="001B2D3A">
      <w:r>
        <w:t>Des projets d’organisation ou de financement dérogatoires (exemple : épisode de soins autour d’un acte chirurgical qui inclurait des actes de téléconsultation et de télé-expertise) comprenant ces actes sont en revanche susceptibles d’être éligibles.</w:t>
      </w:r>
    </w:p>
    <w:p w:rsidR="00AE494A" w:rsidRPr="000C1442" w:rsidRDefault="002847B9" w:rsidP="000C1442">
      <w:pPr>
        <w:shd w:val="clear" w:color="auto" w:fill="8DB3E2" w:themeFill="text2" w:themeFillTint="66"/>
        <w:rPr>
          <w:b/>
        </w:rPr>
      </w:pPr>
      <w:r>
        <w:rPr>
          <w:b/>
        </w:rPr>
        <w:t>Quelle est la procédure pour les</w:t>
      </w:r>
      <w:r w:rsidR="00971318" w:rsidRPr="00971318">
        <w:rPr>
          <w:b/>
        </w:rPr>
        <w:t xml:space="preserve"> expérimentations relatives aux produits de santé ?</w:t>
      </w:r>
    </w:p>
    <w:p w:rsidR="00E22E7F" w:rsidRDefault="007C00A7" w:rsidP="00786609">
      <w:r>
        <w:t xml:space="preserve">Les </w:t>
      </w:r>
      <w:r w:rsidRPr="007C00A7">
        <w:t xml:space="preserve">expérimentations relatives aux produits de santé </w:t>
      </w:r>
      <w:r w:rsidR="00AE494A">
        <w:t>vis</w:t>
      </w:r>
      <w:r w:rsidR="00E22E7F">
        <w:t>e</w:t>
      </w:r>
      <w:r w:rsidR="00AE494A">
        <w:t xml:space="preserve">nt </w:t>
      </w:r>
      <w:r w:rsidR="00996772">
        <w:t xml:space="preserve">en particulier </w:t>
      </w:r>
      <w:r w:rsidR="00AE494A">
        <w:t xml:space="preserve">un objectif d’amélioration de </w:t>
      </w:r>
      <w:r w:rsidR="00AE494A" w:rsidRPr="007C00A7">
        <w:t>l’efficience des prises en charge par l’</w:t>
      </w:r>
      <w:r w:rsidR="00AE494A">
        <w:t>assurance maladie</w:t>
      </w:r>
      <w:r w:rsidR="00AE494A" w:rsidRPr="007C00A7">
        <w:t xml:space="preserve"> des </w:t>
      </w:r>
      <w:r w:rsidR="00AE494A">
        <w:t xml:space="preserve">produits de santé. </w:t>
      </w:r>
    </w:p>
    <w:p w:rsidR="00786609" w:rsidRPr="00B227D8" w:rsidRDefault="00E22E7F" w:rsidP="00786609">
      <w:pPr>
        <w:rPr>
          <w:highlight w:val="yellow"/>
        </w:rPr>
      </w:pPr>
      <w:r w:rsidRPr="005E59D8">
        <w:t xml:space="preserve">Les expérimentations ayant trait </w:t>
      </w:r>
      <w:r w:rsidR="00FB3907">
        <w:t>exclusivement</w:t>
      </w:r>
      <w:r w:rsidR="00FB3907" w:rsidRPr="005E59D8">
        <w:t xml:space="preserve"> </w:t>
      </w:r>
      <w:r w:rsidRPr="005E59D8">
        <w:t>aux produits de santé</w:t>
      </w:r>
      <w:r w:rsidR="00AE494A" w:rsidRPr="005E59D8">
        <w:t xml:space="preserve"> </w:t>
      </w:r>
      <w:r w:rsidR="005E59D8" w:rsidRPr="005E59D8">
        <w:t>seront à</w:t>
      </w:r>
      <w:r w:rsidR="005A6317" w:rsidRPr="005E59D8">
        <w:t xml:space="preserve"> </w:t>
      </w:r>
      <w:r w:rsidR="005E59D8" w:rsidRPr="005E59D8">
        <w:t>adresser directement au rapporteur général du dispositif (</w:t>
      </w:r>
      <w:r w:rsidR="00ED62CC">
        <w:rPr>
          <w:color w:val="00B0F0"/>
        </w:rPr>
        <w:t>RG</w:t>
      </w:r>
      <w:r w:rsidR="00EF7368">
        <w:rPr>
          <w:color w:val="00B0F0"/>
        </w:rPr>
        <w:t>-ART</w:t>
      </w:r>
      <w:r w:rsidR="0058196A">
        <w:rPr>
          <w:color w:val="00B0F0"/>
        </w:rPr>
        <w:t>51</w:t>
      </w:r>
      <w:r w:rsidR="00ED62CC">
        <w:rPr>
          <w:color w:val="00B0F0"/>
        </w:rPr>
        <w:t>@sante.gouv.fr</w:t>
      </w:r>
      <w:r w:rsidR="005E59D8" w:rsidRPr="005E59D8">
        <w:t>)</w:t>
      </w:r>
      <w:r w:rsidR="005E59D8">
        <w:t xml:space="preserve">, </w:t>
      </w:r>
      <w:r w:rsidR="00FB3907">
        <w:t>quel que soit le champ d’application et donc y compris s’agissant de projet locaux ou régionaux</w:t>
      </w:r>
      <w:r w:rsidR="005E59D8">
        <w:t xml:space="preserve">. </w:t>
      </w:r>
    </w:p>
    <w:p w:rsidR="00E22E7F" w:rsidRPr="00AE494A" w:rsidRDefault="00E22E7F" w:rsidP="00786609">
      <w:r w:rsidRPr="005E59D8">
        <w:t>Les expérimentations ayant un périmètre plus large</w:t>
      </w:r>
      <w:r w:rsidR="004C4A55" w:rsidRPr="005E59D8">
        <w:t>,</w:t>
      </w:r>
      <w:r w:rsidRPr="005E59D8">
        <w:t xml:space="preserve"> par exemple </w:t>
      </w:r>
      <w:r w:rsidR="004C4A55" w:rsidRPr="005E59D8">
        <w:t xml:space="preserve">à la fois des innovations </w:t>
      </w:r>
      <w:r w:rsidR="00D66BD8" w:rsidRPr="005E59D8">
        <w:t>organisationnelles, reposant sur un</w:t>
      </w:r>
      <w:r w:rsidR="004C4A55" w:rsidRPr="005E59D8">
        <w:t xml:space="preserve"> financement </w:t>
      </w:r>
      <w:r w:rsidR="00135734" w:rsidRPr="005E59D8">
        <w:t>inédit</w:t>
      </w:r>
      <w:r w:rsidR="00D66BD8" w:rsidRPr="005E59D8">
        <w:t xml:space="preserve"> des prises en charge, </w:t>
      </w:r>
      <w:r w:rsidR="004C4A55" w:rsidRPr="005E59D8">
        <w:t xml:space="preserve">et </w:t>
      </w:r>
      <w:r w:rsidRPr="005E59D8">
        <w:t>des indicateurs de qualité des prescriptions</w:t>
      </w:r>
      <w:r w:rsidR="004C4A55" w:rsidRPr="005E59D8">
        <w:t>,</w:t>
      </w:r>
      <w:r w:rsidRPr="005E59D8">
        <w:t xml:space="preserve"> p</w:t>
      </w:r>
      <w:r w:rsidR="005E59D8" w:rsidRPr="005E59D8">
        <w:t>ourront</w:t>
      </w:r>
      <w:r w:rsidRPr="005E59D8">
        <w:t xml:space="preserve"> être soumis</w:t>
      </w:r>
      <w:r w:rsidR="001038F6" w:rsidRPr="005E59D8">
        <w:t>es</w:t>
      </w:r>
      <w:r w:rsidRPr="005E59D8">
        <w:t xml:space="preserve"> via la procédure</w:t>
      </w:r>
      <w:r w:rsidR="004C4A55" w:rsidRPr="005E59D8">
        <w:t xml:space="preserve"> standard</w:t>
      </w:r>
      <w:r w:rsidR="005E59D8">
        <w:t xml:space="preserve"> (</w:t>
      </w:r>
      <w:r w:rsidR="002847B9">
        <w:t xml:space="preserve">ARS ou </w:t>
      </w:r>
      <w:r w:rsidR="002847B9" w:rsidRPr="002847B9">
        <w:t>rapporteur général</w:t>
      </w:r>
      <w:r w:rsidR="002847B9">
        <w:t>)</w:t>
      </w:r>
      <w:r w:rsidR="004C4A55" w:rsidRPr="005E59D8">
        <w:t>.</w:t>
      </w:r>
    </w:p>
    <w:p w:rsidR="006E1F80" w:rsidRDefault="006E1F80" w:rsidP="00E608A3">
      <w:pPr>
        <w:shd w:val="clear" w:color="auto" w:fill="8DB3E2" w:themeFill="text2" w:themeFillTint="66"/>
        <w:rPr>
          <w:b/>
        </w:rPr>
      </w:pPr>
      <w:r w:rsidRPr="00E17B82">
        <w:rPr>
          <w:b/>
        </w:rPr>
        <w:t>Comment les projets seront-ils évalués ?</w:t>
      </w:r>
    </w:p>
    <w:p w:rsidR="005A6317" w:rsidRDefault="005A6317" w:rsidP="00E8628D">
      <w:r w:rsidRPr="005A6317">
        <w:t>Pour pouvoir être évalués rigoureusement les projets devront préciser</w:t>
      </w:r>
      <w:r>
        <w:t>,</w:t>
      </w:r>
      <w:r w:rsidRPr="005A6317">
        <w:t xml:space="preserve"> </w:t>
      </w:r>
      <w:r w:rsidRPr="00DC5EA9">
        <w:t>d</w:t>
      </w:r>
      <w:r>
        <w:t>ans le</w:t>
      </w:r>
      <w:r w:rsidRPr="00DC5EA9">
        <w:t xml:space="preserve"> cahier des charges</w:t>
      </w:r>
      <w:r>
        <w:t>,</w:t>
      </w:r>
      <w:r w:rsidRPr="005A6317">
        <w:t xml:space="preserve"> les paramètres suivants : les objectifs de l’expérimentation, la cible, la durée et le périmètre géographique de l’expérimentation.</w:t>
      </w:r>
    </w:p>
    <w:p w:rsidR="00DC5EA9" w:rsidRDefault="005A6317" w:rsidP="00E8628D">
      <w:r>
        <w:t>De ce premier travail pourront être déduits par l</w:t>
      </w:r>
      <w:r w:rsidR="00DC5EA9" w:rsidRPr="00DC5EA9">
        <w:t xml:space="preserve">e porteur de projet, en lien avec l’ARS ou l’équipe nationale d’appui du dispositif, les </w:t>
      </w:r>
      <w:r w:rsidR="00DC5EA9">
        <w:t>objectifs, les moyens et la méthode de l’évaluation</w:t>
      </w:r>
      <w:r>
        <w:t xml:space="preserve">, dans le respect du </w:t>
      </w:r>
      <w:r w:rsidR="007275EF" w:rsidRPr="007275EF">
        <w:t>cadre méthodologique d’évalua</w:t>
      </w:r>
      <w:r w:rsidR="007275EF">
        <w:t xml:space="preserve">tion </w:t>
      </w:r>
      <w:r w:rsidR="00DC5EA9">
        <w:t>défi</w:t>
      </w:r>
      <w:r w:rsidR="00DC5EA9" w:rsidRPr="007275EF">
        <w:t xml:space="preserve">ni </w:t>
      </w:r>
      <w:r w:rsidR="00DC5EA9">
        <w:t>par le comité technique,</w:t>
      </w:r>
      <w:r w:rsidR="00DC5EA9" w:rsidRPr="007275EF">
        <w:t xml:space="preserve"> </w:t>
      </w:r>
      <w:r w:rsidR="007275EF">
        <w:t xml:space="preserve">sur la base d’orientations </w:t>
      </w:r>
      <w:r w:rsidR="00DC5EA9">
        <w:t>du</w:t>
      </w:r>
      <w:r w:rsidR="00E8628D">
        <w:t xml:space="preserve"> conseil stratégique</w:t>
      </w:r>
      <w:r>
        <w:t>.</w:t>
      </w:r>
    </w:p>
    <w:p w:rsidR="00E8628D" w:rsidRPr="00664C18" w:rsidRDefault="00DC5EA9" w:rsidP="00E8628D">
      <w:r>
        <w:t>L</w:t>
      </w:r>
      <w:r w:rsidR="00E8628D">
        <w:t xml:space="preserve">es moyens </w:t>
      </w:r>
      <w:r>
        <w:t xml:space="preserve">déployés pour l’évaluation </w:t>
      </w:r>
      <w:r w:rsidR="00E8628D">
        <w:t>dev</w:t>
      </w:r>
      <w:r>
        <w:t>ront</w:t>
      </w:r>
      <w:r w:rsidR="00E8628D">
        <w:t xml:space="preserve"> </w:t>
      </w:r>
      <w:r w:rsidR="007275EF" w:rsidRPr="007275EF">
        <w:t>être proportionnés aux enjeux et à l’ampleur</w:t>
      </w:r>
      <w:r w:rsidR="007275EF">
        <w:t xml:space="preserve"> </w:t>
      </w:r>
      <w:r w:rsidR="007275EF" w:rsidRPr="007275EF">
        <w:t>de l’expérimentation.</w:t>
      </w:r>
    </w:p>
    <w:p w:rsidR="00A01B19" w:rsidRDefault="00A01B19"/>
    <w:sectPr w:rsidR="00A01B19" w:rsidSect="00AA0F5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276" w:left="1417" w:header="708" w:footer="14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29F877" w15:done="0"/>
  <w15:commentEx w15:paraId="2C2DF30E" w15:done="0"/>
  <w15:commentEx w15:paraId="79D22371" w15:done="0"/>
  <w15:commentEx w15:paraId="0DA6B192" w15:done="0"/>
  <w15:commentEx w15:paraId="4EF6E9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E06" w:rsidRDefault="004A2E06" w:rsidP="00DE64B0">
      <w:pPr>
        <w:spacing w:after="0" w:line="240" w:lineRule="auto"/>
      </w:pPr>
      <w:r>
        <w:separator/>
      </w:r>
    </w:p>
  </w:endnote>
  <w:endnote w:type="continuationSeparator" w:id="0">
    <w:p w:rsidR="004A2E06" w:rsidRDefault="004A2E06" w:rsidP="00DE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8" w:rsidRDefault="00E31F4A">
    <w:pPr>
      <w:pStyle w:val="Pieddepage"/>
    </w:pPr>
    <w:r>
      <w:t>6 avril 2018</w:t>
    </w:r>
  </w:p>
  <w:p w:rsidR="00DE64B0" w:rsidRDefault="00DE64B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E06" w:rsidRDefault="004A2E06" w:rsidP="00DE64B0">
      <w:pPr>
        <w:spacing w:after="0" w:line="240" w:lineRule="auto"/>
      </w:pPr>
      <w:r>
        <w:separator/>
      </w:r>
    </w:p>
  </w:footnote>
  <w:footnote w:type="continuationSeparator" w:id="0">
    <w:p w:rsidR="004A2E06" w:rsidRDefault="004A2E06" w:rsidP="00DE6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8" w:rsidRDefault="00C8713B">
    <w:pPr>
      <w:pStyle w:val="En-tte"/>
    </w:pPr>
    <w:r>
      <w:rPr>
        <w:noProof/>
      </w:rPr>
      <w:pict w14:anchorId="3D702C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11.65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us embar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8" w:rsidRDefault="00C8713B">
    <w:pPr>
      <w:pStyle w:val="En-tte"/>
    </w:pPr>
    <w:r>
      <w:rPr>
        <w:noProof/>
      </w:rPr>
      <w:pict w14:anchorId="2FCCB8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11.65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us embar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8" w:rsidRDefault="00C8713B">
    <w:pPr>
      <w:pStyle w:val="En-tte"/>
    </w:pPr>
    <w:r>
      <w:rPr>
        <w:noProof/>
      </w:rPr>
      <w:pict w14:anchorId="7019C7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11.65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ous embar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162"/>
    <w:multiLevelType w:val="hybridMultilevel"/>
    <w:tmpl w:val="7228C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4DE6"/>
    <w:multiLevelType w:val="hybridMultilevel"/>
    <w:tmpl w:val="7B062D18"/>
    <w:lvl w:ilvl="0" w:tplc="94E48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72FE3"/>
    <w:multiLevelType w:val="hybridMultilevel"/>
    <w:tmpl w:val="FE68954A"/>
    <w:lvl w:ilvl="0" w:tplc="172E8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6D2874"/>
    <w:multiLevelType w:val="hybridMultilevel"/>
    <w:tmpl w:val="60F2B3DE"/>
    <w:lvl w:ilvl="0" w:tplc="94E48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810E48"/>
    <w:multiLevelType w:val="hybridMultilevel"/>
    <w:tmpl w:val="379CD14A"/>
    <w:lvl w:ilvl="0" w:tplc="94E48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D25BC6"/>
    <w:multiLevelType w:val="hybridMultilevel"/>
    <w:tmpl w:val="F0327818"/>
    <w:lvl w:ilvl="0" w:tplc="94E48A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cha LEMAIRE">
    <w15:presenceInfo w15:providerId="Windows Live" w15:userId="293388dfe65e37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42"/>
    <w:rsid w:val="00003A45"/>
    <w:rsid w:val="00003D7C"/>
    <w:rsid w:val="00030205"/>
    <w:rsid w:val="000B3896"/>
    <w:rsid w:val="000C1442"/>
    <w:rsid w:val="001038F6"/>
    <w:rsid w:val="00135734"/>
    <w:rsid w:val="00153637"/>
    <w:rsid w:val="001B2D3A"/>
    <w:rsid w:val="001B69A3"/>
    <w:rsid w:val="001B7F48"/>
    <w:rsid w:val="0020784E"/>
    <w:rsid w:val="0022117B"/>
    <w:rsid w:val="00230C87"/>
    <w:rsid w:val="00247C11"/>
    <w:rsid w:val="002847B9"/>
    <w:rsid w:val="002B68A2"/>
    <w:rsid w:val="002E4231"/>
    <w:rsid w:val="002F1305"/>
    <w:rsid w:val="00307B0B"/>
    <w:rsid w:val="00341F97"/>
    <w:rsid w:val="003A26DA"/>
    <w:rsid w:val="003A38C2"/>
    <w:rsid w:val="00490F31"/>
    <w:rsid w:val="004A2E06"/>
    <w:rsid w:val="004A492B"/>
    <w:rsid w:val="004C4A55"/>
    <w:rsid w:val="004F4680"/>
    <w:rsid w:val="00503623"/>
    <w:rsid w:val="00517C38"/>
    <w:rsid w:val="00544CD4"/>
    <w:rsid w:val="0058196A"/>
    <w:rsid w:val="00594414"/>
    <w:rsid w:val="005A6317"/>
    <w:rsid w:val="005C7DF9"/>
    <w:rsid w:val="005E59D8"/>
    <w:rsid w:val="006010FC"/>
    <w:rsid w:val="006036FD"/>
    <w:rsid w:val="00641F22"/>
    <w:rsid w:val="00646AA3"/>
    <w:rsid w:val="00664C18"/>
    <w:rsid w:val="00691C5B"/>
    <w:rsid w:val="006C4B7E"/>
    <w:rsid w:val="006C5D10"/>
    <w:rsid w:val="006D3F3C"/>
    <w:rsid w:val="006E1F80"/>
    <w:rsid w:val="006E5D25"/>
    <w:rsid w:val="006E7821"/>
    <w:rsid w:val="00707638"/>
    <w:rsid w:val="007275EF"/>
    <w:rsid w:val="0075214C"/>
    <w:rsid w:val="00786609"/>
    <w:rsid w:val="007C00A7"/>
    <w:rsid w:val="007C5881"/>
    <w:rsid w:val="007D6529"/>
    <w:rsid w:val="007E0D36"/>
    <w:rsid w:val="007F2ED3"/>
    <w:rsid w:val="0080073E"/>
    <w:rsid w:val="00837D2D"/>
    <w:rsid w:val="00897D43"/>
    <w:rsid w:val="008B6446"/>
    <w:rsid w:val="008C2F1A"/>
    <w:rsid w:val="008F3527"/>
    <w:rsid w:val="008F6342"/>
    <w:rsid w:val="00912319"/>
    <w:rsid w:val="009701DC"/>
    <w:rsid w:val="00970A4C"/>
    <w:rsid w:val="00971318"/>
    <w:rsid w:val="00996772"/>
    <w:rsid w:val="009C64D1"/>
    <w:rsid w:val="009E19AD"/>
    <w:rsid w:val="00A01B19"/>
    <w:rsid w:val="00A32E3B"/>
    <w:rsid w:val="00A42FBD"/>
    <w:rsid w:val="00A5670D"/>
    <w:rsid w:val="00A57E33"/>
    <w:rsid w:val="00A9249C"/>
    <w:rsid w:val="00A95F39"/>
    <w:rsid w:val="00AA0F58"/>
    <w:rsid w:val="00AA66A8"/>
    <w:rsid w:val="00AB4FDE"/>
    <w:rsid w:val="00AD1B58"/>
    <w:rsid w:val="00AE494A"/>
    <w:rsid w:val="00AF635C"/>
    <w:rsid w:val="00B160BE"/>
    <w:rsid w:val="00B227D8"/>
    <w:rsid w:val="00B5122D"/>
    <w:rsid w:val="00B56CA8"/>
    <w:rsid w:val="00B81643"/>
    <w:rsid w:val="00BD0D2A"/>
    <w:rsid w:val="00BE4B34"/>
    <w:rsid w:val="00BE5DD8"/>
    <w:rsid w:val="00C04E86"/>
    <w:rsid w:val="00C572B9"/>
    <w:rsid w:val="00C65DA5"/>
    <w:rsid w:val="00C8713B"/>
    <w:rsid w:val="00CA131A"/>
    <w:rsid w:val="00CC293F"/>
    <w:rsid w:val="00CE6FC9"/>
    <w:rsid w:val="00D66BD8"/>
    <w:rsid w:val="00DB289E"/>
    <w:rsid w:val="00DC5EA9"/>
    <w:rsid w:val="00DD08D3"/>
    <w:rsid w:val="00DE64B0"/>
    <w:rsid w:val="00E17B82"/>
    <w:rsid w:val="00E22E7F"/>
    <w:rsid w:val="00E31F4A"/>
    <w:rsid w:val="00E50E1A"/>
    <w:rsid w:val="00E608A3"/>
    <w:rsid w:val="00E85A3D"/>
    <w:rsid w:val="00E8628D"/>
    <w:rsid w:val="00E9577B"/>
    <w:rsid w:val="00EB0B8F"/>
    <w:rsid w:val="00ED62CC"/>
    <w:rsid w:val="00EF7368"/>
    <w:rsid w:val="00F20DBD"/>
    <w:rsid w:val="00FB3907"/>
    <w:rsid w:val="00FB5F6D"/>
    <w:rsid w:val="00FC4E98"/>
    <w:rsid w:val="00FD04AF"/>
    <w:rsid w:val="00FD6445"/>
    <w:rsid w:val="00FE110E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4B0"/>
  </w:style>
  <w:style w:type="paragraph" w:styleId="Pieddepage">
    <w:name w:val="footer"/>
    <w:basedOn w:val="Normal"/>
    <w:link w:val="PieddepageCar"/>
    <w:uiPriority w:val="99"/>
    <w:unhideWhenUsed/>
    <w:rsid w:val="00DE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4B0"/>
  </w:style>
  <w:style w:type="character" w:styleId="Lienhypertexte">
    <w:name w:val="Hyperlink"/>
    <w:basedOn w:val="Policepardfaut"/>
    <w:uiPriority w:val="99"/>
    <w:unhideWhenUsed/>
    <w:rsid w:val="00D66BD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3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A4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B39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4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4B0"/>
  </w:style>
  <w:style w:type="paragraph" w:styleId="Pieddepage">
    <w:name w:val="footer"/>
    <w:basedOn w:val="Normal"/>
    <w:link w:val="PieddepageCar"/>
    <w:uiPriority w:val="99"/>
    <w:unhideWhenUsed/>
    <w:rsid w:val="00DE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4B0"/>
  </w:style>
  <w:style w:type="character" w:styleId="Lienhypertexte">
    <w:name w:val="Hyperlink"/>
    <w:basedOn w:val="Policepardfaut"/>
    <w:uiPriority w:val="99"/>
    <w:unhideWhenUsed/>
    <w:rsid w:val="00D66BD8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03A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3A4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3A4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A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3A4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3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3A45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FB39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lidarites-sante.gouv.fr/soins-et-maladies/prises-en-charge-specialisees/telemedecine/article/la-telemedecin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lidarites-sante.gouv.fr/soins-et-maladies/prises-en-charge-specialisees/telemedecine/article/etapes-experimentations-de-telemedecine-pour-l-amelioration-des-parcours-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2038</Words>
  <Characters>11214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marine.jean-baptiste</dc:creator>
  <cp:lastModifiedBy>LEMAIRE, Natacha (SGMCAS)</cp:lastModifiedBy>
  <cp:revision>8</cp:revision>
  <cp:lastPrinted>2018-03-30T13:47:00Z</cp:lastPrinted>
  <dcterms:created xsi:type="dcterms:W3CDTF">2018-04-06T14:15:00Z</dcterms:created>
  <dcterms:modified xsi:type="dcterms:W3CDTF">2018-04-06T15:56:00Z</dcterms:modified>
</cp:coreProperties>
</file>