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23F" w:rsidRDefault="00AE523F" w:rsidP="00AE523F">
      <w:pPr>
        <w:jc w:val="right"/>
        <w:rPr>
          <w:rFonts w:cstheme="minorHAnsi"/>
          <w:color w:val="333333"/>
          <w:sz w:val="24"/>
          <w:szCs w:val="24"/>
          <w:shd w:val="clear" w:color="auto" w:fill="FFFFFF"/>
        </w:rPr>
      </w:pPr>
    </w:p>
    <w:p w:rsidR="00893897" w:rsidRPr="0043446D" w:rsidRDefault="00893897" w:rsidP="00893897">
      <w:pPr>
        <w:pBdr>
          <w:top w:val="single" w:sz="4" w:space="1" w:color="auto"/>
          <w:left w:val="single" w:sz="4" w:space="4" w:color="auto"/>
          <w:bottom w:val="single" w:sz="4" w:space="1" w:color="auto"/>
          <w:right w:val="single" w:sz="4" w:space="4" w:color="auto"/>
        </w:pBdr>
        <w:jc w:val="center"/>
        <w:rPr>
          <w:b/>
        </w:rPr>
      </w:pPr>
      <w:r>
        <w:rPr>
          <w:b/>
        </w:rPr>
        <w:t>Annexe</w:t>
      </w:r>
      <w:r w:rsidRPr="0043446D">
        <w:rPr>
          <w:b/>
        </w:rPr>
        <w:t xml:space="preserve"> </w:t>
      </w:r>
      <w:proofErr w:type="spellStart"/>
      <w:r>
        <w:rPr>
          <w:b/>
        </w:rPr>
        <w:t>SaSe</w:t>
      </w:r>
      <w:proofErr w:type="spellEnd"/>
      <w:r w:rsidRPr="0043446D">
        <w:rPr>
          <w:b/>
        </w:rPr>
        <w:t xml:space="preserve"> -</w:t>
      </w:r>
      <w:r>
        <w:rPr>
          <w:b/>
        </w:rPr>
        <w:t xml:space="preserve"> Orientations</w:t>
      </w:r>
      <w:r w:rsidRPr="0043446D">
        <w:rPr>
          <w:b/>
        </w:rPr>
        <w:t xml:space="preserve"> </w:t>
      </w:r>
      <w:r>
        <w:rPr>
          <w:b/>
        </w:rPr>
        <w:t>« Santé sexuelle » 2022</w:t>
      </w:r>
    </w:p>
    <w:p w:rsidR="00AE523F" w:rsidRDefault="00AE523F" w:rsidP="00893897">
      <w:pPr>
        <w:jc w:val="right"/>
        <w:rPr>
          <w:rFonts w:cstheme="minorHAnsi"/>
          <w:color w:val="333333"/>
          <w:sz w:val="24"/>
          <w:szCs w:val="24"/>
          <w:shd w:val="clear" w:color="auto" w:fill="FFFFFF"/>
        </w:rPr>
      </w:pPr>
    </w:p>
    <w:p w:rsidR="009611CA" w:rsidRDefault="00B6373B" w:rsidP="00893897">
      <w:pPr>
        <w:jc w:val="both"/>
        <w:rPr>
          <w:rFonts w:cstheme="minorHAnsi"/>
          <w:color w:val="7030A0"/>
          <w:shd w:val="clear" w:color="auto" w:fill="FFFFFF"/>
        </w:rPr>
      </w:pPr>
      <w:r w:rsidRPr="00893897">
        <w:rPr>
          <w:rFonts w:cstheme="minorHAnsi"/>
          <w:b/>
          <w:color w:val="7030A0"/>
          <w:shd w:val="clear" w:color="auto" w:fill="FFFFFF"/>
        </w:rPr>
        <w:t>La santé sexuelle</w:t>
      </w:r>
      <w:r w:rsidRPr="00893897">
        <w:rPr>
          <w:rFonts w:cstheme="minorHAnsi"/>
          <w:color w:val="7030A0"/>
          <w:shd w:val="clear" w:color="auto" w:fill="FFFFFF"/>
        </w:rPr>
        <w:t xml:space="preserve"> </w:t>
      </w:r>
      <w:r w:rsidRPr="00893897">
        <w:rPr>
          <w:rFonts w:cstheme="minorHAnsi"/>
          <w:color w:val="333333"/>
          <w:shd w:val="clear" w:color="auto" w:fill="FFFFFF"/>
        </w:rPr>
        <w:t xml:space="preserve">est </w:t>
      </w:r>
      <w:r w:rsidRPr="00893897">
        <w:rPr>
          <w:rFonts w:cstheme="minorHAnsi"/>
          <w:color w:val="7030A0"/>
          <w:shd w:val="clear" w:color="auto" w:fill="FFFFFF"/>
        </w:rPr>
        <w:t>un état de bien</w:t>
      </w:r>
      <w:r w:rsidR="00893897">
        <w:rPr>
          <w:rFonts w:cstheme="minorHAnsi"/>
          <w:color w:val="7030A0"/>
          <w:shd w:val="clear" w:color="auto" w:fill="FFFFFF"/>
        </w:rPr>
        <w:t>-</w:t>
      </w:r>
      <w:r w:rsidRPr="00893897">
        <w:rPr>
          <w:rFonts w:cstheme="minorHAnsi"/>
          <w:color w:val="7030A0"/>
          <w:shd w:val="clear" w:color="auto" w:fill="FFFFFF"/>
        </w:rPr>
        <w:t xml:space="preserve">être physique, émotionnel, mental et social en matière de sexualité, ce n’est pas seulement l’absence de maladie, de dysfonctionnement ou d’infirmité. La santé sexuelle exige une approche positive et respectueuse de la sexualité et des relations sexuelles, ainsi que la possibilité d’avoir des expériences sexuelles agréables et sécuritaires, sans coercition, ni discrimination et ni violence. </w:t>
      </w:r>
    </w:p>
    <w:p w:rsidR="0044309B" w:rsidRDefault="0044309B" w:rsidP="0044309B">
      <w:pPr>
        <w:jc w:val="both"/>
        <w:rPr>
          <w:rFonts w:cstheme="minorHAnsi"/>
          <w:color w:val="333333"/>
          <w:shd w:val="clear" w:color="auto" w:fill="FFFFFF"/>
        </w:rPr>
      </w:pPr>
    </w:p>
    <w:p w:rsidR="0044309B" w:rsidRPr="00893897" w:rsidRDefault="0044309B" w:rsidP="0044309B">
      <w:pPr>
        <w:jc w:val="both"/>
        <w:rPr>
          <w:rFonts w:cstheme="minorHAnsi"/>
          <w:color w:val="333333"/>
          <w:shd w:val="clear" w:color="auto" w:fill="FFFFFF"/>
        </w:rPr>
      </w:pPr>
      <w:r w:rsidRPr="00893897">
        <w:rPr>
          <w:rFonts w:cstheme="minorHAnsi"/>
          <w:color w:val="333333"/>
          <w:shd w:val="clear" w:color="auto" w:fill="FFFFFF"/>
        </w:rPr>
        <w:t xml:space="preserve">En vue de diversifier les opportunités de dépistage et de garantir une offre lisible, accessible et coordonnée de santé sexuelle au niveau régional, </w:t>
      </w:r>
      <w:r w:rsidRPr="00893897">
        <w:rPr>
          <w:rFonts w:cstheme="minorHAnsi"/>
          <w:color w:val="385623" w:themeColor="accent6" w:themeShade="80"/>
          <w:u w:val="single"/>
          <w:shd w:val="clear" w:color="auto" w:fill="FFFFFF"/>
        </w:rPr>
        <w:t>des outils sont mis en place :</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 dispositif VIH Test dans les laboratoires de biologie médicale,</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 projet d’amélioration du dépistage des infections transmissibles par voie sexuelle ou sanguine en milieu pénitentiaire,</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Les actions de promotion et d’accompagnement PREP,</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Les dépistages « hors les murs » IST, VIH, VHC, VHB.</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Les actions de sensibilisation et de communication autour de la vaccination HPV et VHC,</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La semaine annuelle santé sexuelle et réduction des risques et du village santé sexuelle et réduction des risques,</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Les formations sur la santé sexuelle auprès des professionnels de l’éducation nationale,</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Le suivi de l’éducation à la sexualité, de la prise en charge de la vie intime, affective et sexuelle des personnes en situation de handicap,</w:t>
      </w:r>
    </w:p>
    <w:p w:rsidR="0044309B" w:rsidRPr="00893897" w:rsidRDefault="0044309B" w:rsidP="0044309B">
      <w:pPr>
        <w:pStyle w:val="Paragraphedeliste"/>
        <w:numPr>
          <w:ilvl w:val="0"/>
          <w:numId w:val="1"/>
        </w:numPr>
        <w:jc w:val="both"/>
        <w:rPr>
          <w:rFonts w:cstheme="minorHAnsi"/>
          <w:color w:val="333333"/>
          <w:shd w:val="clear" w:color="auto" w:fill="FFFFFF"/>
        </w:rPr>
      </w:pPr>
      <w:r w:rsidRPr="00893897">
        <w:rPr>
          <w:rFonts w:cstheme="minorHAnsi"/>
          <w:color w:val="333333"/>
          <w:shd w:val="clear" w:color="auto" w:fill="FFFFFF"/>
        </w:rPr>
        <w:t>La prévention sur le recours à l’IVG par les femmes âgées de 25 à 35 ans.</w:t>
      </w:r>
    </w:p>
    <w:p w:rsidR="00893897" w:rsidRDefault="00893897" w:rsidP="00893897">
      <w:pPr>
        <w:jc w:val="both"/>
      </w:pPr>
    </w:p>
    <w:p w:rsidR="00893897" w:rsidRPr="00893897" w:rsidRDefault="00893897" w:rsidP="00893897">
      <w:pPr>
        <w:jc w:val="both"/>
        <w:rPr>
          <w:rFonts w:cstheme="minorHAnsi"/>
          <w:color w:val="333333"/>
          <w:shd w:val="clear" w:color="auto" w:fill="FFFFFF"/>
        </w:rPr>
      </w:pPr>
      <w:r>
        <w:rPr>
          <w:noProof/>
          <w:lang w:eastAsia="fr-FR"/>
        </w:rPr>
        <w:drawing>
          <wp:inline distT="0" distB="0" distL="0" distR="0" wp14:anchorId="10A032C7" wp14:editId="6CC8BE9A">
            <wp:extent cx="530225" cy="353695"/>
            <wp:effectExtent l="0" t="0" r="3175"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0225" cy="353695"/>
                    </a:xfrm>
                    <a:prstGeom prst="rect">
                      <a:avLst/>
                    </a:prstGeom>
                    <a:noFill/>
                  </pic:spPr>
                </pic:pic>
              </a:graphicData>
            </a:graphic>
          </wp:inline>
        </w:drawing>
      </w:r>
      <w:r w:rsidRPr="00893897">
        <w:t xml:space="preserve">Les projets </w:t>
      </w:r>
      <w:r w:rsidRPr="00BE0521">
        <w:t>cibleront au moins l’un des publics prioritaires suivants</w:t>
      </w:r>
      <w:r w:rsidRPr="00893897">
        <w:rPr>
          <w:b/>
        </w:rPr>
        <w:t> :</w:t>
      </w:r>
      <w:r>
        <w:rPr>
          <w:rFonts w:cstheme="minorHAnsi"/>
          <w:color w:val="333333"/>
          <w:shd w:val="clear" w:color="auto" w:fill="FFFFFF"/>
        </w:rPr>
        <w:t xml:space="preserve"> </w:t>
      </w:r>
      <w:r w:rsidRPr="00893897">
        <w:rPr>
          <w:rFonts w:cstheme="minorHAnsi"/>
          <w:color w:val="333333"/>
          <w:shd w:val="clear" w:color="auto" w:fill="FFFFFF"/>
        </w:rPr>
        <w:t>Le</w:t>
      </w:r>
      <w:r>
        <w:rPr>
          <w:rFonts w:cstheme="minorHAnsi"/>
          <w:color w:val="333333"/>
          <w:shd w:val="clear" w:color="auto" w:fill="FFFFFF"/>
        </w:rPr>
        <w:t xml:space="preserve">s </w:t>
      </w:r>
      <w:r w:rsidRPr="00BE0521">
        <w:rPr>
          <w:rFonts w:cstheme="minorHAnsi"/>
          <w:b/>
          <w:color w:val="333333"/>
          <w:shd w:val="clear" w:color="auto" w:fill="FFFFFF"/>
        </w:rPr>
        <w:t>adolescents et jeunes adultes</w:t>
      </w:r>
      <w:r>
        <w:rPr>
          <w:rFonts w:cstheme="minorHAnsi"/>
          <w:color w:val="333333"/>
          <w:shd w:val="clear" w:color="auto" w:fill="FFFFFF"/>
        </w:rPr>
        <w:t xml:space="preserve"> ; Les </w:t>
      </w:r>
      <w:r w:rsidRPr="00BE0521">
        <w:rPr>
          <w:rFonts w:cstheme="minorHAnsi"/>
          <w:b/>
          <w:color w:val="333333"/>
          <w:shd w:val="clear" w:color="auto" w:fill="FFFFFF"/>
        </w:rPr>
        <w:t>femmes</w:t>
      </w:r>
      <w:r>
        <w:rPr>
          <w:rFonts w:cstheme="minorHAnsi"/>
          <w:color w:val="333333"/>
          <w:shd w:val="clear" w:color="auto" w:fill="FFFFFF"/>
        </w:rPr>
        <w:t xml:space="preserve"> âgées </w:t>
      </w:r>
      <w:r w:rsidRPr="00BE0521">
        <w:rPr>
          <w:rFonts w:cstheme="minorHAnsi"/>
          <w:b/>
          <w:color w:val="333333"/>
          <w:shd w:val="clear" w:color="auto" w:fill="FFFFFF"/>
        </w:rPr>
        <w:t>de 25 à 35 ans</w:t>
      </w:r>
      <w:r>
        <w:rPr>
          <w:rFonts w:cstheme="minorHAnsi"/>
          <w:color w:val="333333"/>
          <w:shd w:val="clear" w:color="auto" w:fill="FFFFFF"/>
        </w:rPr>
        <w:t xml:space="preserve"> ; </w:t>
      </w:r>
      <w:r w:rsidRPr="00893897">
        <w:rPr>
          <w:rFonts w:cstheme="minorHAnsi"/>
          <w:color w:val="333333"/>
          <w:shd w:val="clear" w:color="auto" w:fill="FFFFFF"/>
        </w:rPr>
        <w:t xml:space="preserve">Les publics en </w:t>
      </w:r>
      <w:r w:rsidRPr="00BE0521">
        <w:rPr>
          <w:rFonts w:cstheme="minorHAnsi"/>
          <w:b/>
          <w:color w:val="333333"/>
          <w:shd w:val="clear" w:color="auto" w:fill="FFFFFF"/>
        </w:rPr>
        <w:t>situation de vulnérabilité</w:t>
      </w:r>
      <w:r>
        <w:rPr>
          <w:rFonts w:cstheme="minorHAnsi"/>
          <w:color w:val="333333"/>
          <w:shd w:val="clear" w:color="auto" w:fill="FFFFFF"/>
        </w:rPr>
        <w:t xml:space="preserve"> quant à l’accès aux soins ; </w:t>
      </w:r>
      <w:r w:rsidRPr="00893897">
        <w:rPr>
          <w:rFonts w:cstheme="minorHAnsi"/>
          <w:color w:val="333333"/>
          <w:shd w:val="clear" w:color="auto" w:fill="FFFFFF"/>
        </w:rPr>
        <w:t xml:space="preserve">Les </w:t>
      </w:r>
      <w:r w:rsidRPr="00BE0521">
        <w:rPr>
          <w:rFonts w:cstheme="minorHAnsi"/>
          <w:b/>
          <w:color w:val="333333"/>
          <w:shd w:val="clear" w:color="auto" w:fill="FFFFFF"/>
        </w:rPr>
        <w:t>personnes en situation de handicap</w:t>
      </w:r>
      <w:r w:rsidRPr="00893897">
        <w:rPr>
          <w:rFonts w:cstheme="minorHAnsi"/>
          <w:color w:val="333333"/>
          <w:shd w:val="clear" w:color="auto" w:fill="FFFFFF"/>
        </w:rPr>
        <w:t>.</w:t>
      </w:r>
    </w:p>
    <w:p w:rsidR="00893897" w:rsidRPr="00893897" w:rsidRDefault="00893897" w:rsidP="00893897">
      <w:pPr>
        <w:jc w:val="both"/>
        <w:rPr>
          <w:rFonts w:cstheme="minorHAnsi"/>
          <w:color w:val="7030A0"/>
          <w:shd w:val="clear" w:color="auto" w:fill="FFFFFF"/>
        </w:rPr>
      </w:pPr>
    </w:p>
    <w:p w:rsidR="00B6373B" w:rsidRPr="00893897" w:rsidRDefault="00893897" w:rsidP="00893897">
      <w:pPr>
        <w:jc w:val="both"/>
        <w:rPr>
          <w:rFonts w:cstheme="minorHAnsi"/>
          <w:color w:val="333333"/>
          <w:shd w:val="clear" w:color="auto" w:fill="FFFFFF"/>
        </w:rPr>
      </w:pPr>
      <w:r w:rsidRPr="0044309B">
        <w:rPr>
          <w:rFonts w:cstheme="minorHAnsi"/>
          <w:noProof/>
          <w:color w:val="333333"/>
          <w:shd w:val="clear" w:color="auto" w:fill="FFFFFF"/>
          <w:lang w:eastAsia="fr-FR"/>
        </w:rPr>
        <w:drawing>
          <wp:anchor distT="0" distB="0" distL="114300" distR="114300" simplePos="0" relativeHeight="251658240" behindDoc="1" locked="0" layoutInCell="1" allowOverlap="1">
            <wp:simplePos x="0" y="0"/>
            <wp:positionH relativeFrom="margin">
              <wp:align>left</wp:align>
            </wp:positionH>
            <wp:positionV relativeFrom="paragraph">
              <wp:posOffset>48895</wp:posOffset>
            </wp:positionV>
            <wp:extent cx="579120" cy="402590"/>
            <wp:effectExtent l="0" t="0" r="0" b="0"/>
            <wp:wrapTight wrapText="bothSides">
              <wp:wrapPolygon edited="0">
                <wp:start x="0" y="0"/>
                <wp:lineTo x="0" y="20442"/>
                <wp:lineTo x="20605" y="20442"/>
                <wp:lineTo x="2060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402590"/>
                    </a:xfrm>
                    <a:prstGeom prst="rect">
                      <a:avLst/>
                    </a:prstGeom>
                    <a:noFill/>
                  </pic:spPr>
                </pic:pic>
              </a:graphicData>
            </a:graphic>
          </wp:anchor>
        </w:drawing>
      </w:r>
      <w:r w:rsidR="0044309B" w:rsidRPr="0044309B">
        <w:rPr>
          <w:rFonts w:cstheme="minorHAnsi"/>
          <w:color w:val="333333"/>
          <w:shd w:val="clear" w:color="auto" w:fill="FFFFFF"/>
        </w:rPr>
        <w:t xml:space="preserve">Les actions attendues doivent s’inscrire dans les priorités de </w:t>
      </w:r>
      <w:hyperlink r:id="rId7" w:history="1">
        <w:r w:rsidR="0044309B">
          <w:rPr>
            <w:rStyle w:val="Lienhypertexte"/>
            <w:rFonts w:cstheme="minorHAnsi"/>
            <w:b/>
            <w:shd w:val="clear" w:color="auto" w:fill="FFFFFF"/>
          </w:rPr>
          <w:t>l</w:t>
        </w:r>
        <w:r w:rsidR="00B6373B" w:rsidRPr="00893897">
          <w:rPr>
            <w:rStyle w:val="Lienhypertexte"/>
            <w:rFonts w:cstheme="minorHAnsi"/>
            <w:b/>
            <w:shd w:val="clear" w:color="auto" w:fill="FFFFFF"/>
          </w:rPr>
          <w:t>a stratégie nationale de santé sexuelle</w:t>
        </w:r>
        <w:r w:rsidR="00AE523F" w:rsidRPr="00893897">
          <w:rPr>
            <w:rStyle w:val="Lienhypertexte"/>
            <w:rFonts w:cstheme="minorHAnsi"/>
            <w:b/>
            <w:shd w:val="clear" w:color="auto" w:fill="FFFFFF"/>
          </w:rPr>
          <w:t xml:space="preserve"> 2017-2030</w:t>
        </w:r>
      </w:hyperlink>
      <w:r w:rsidR="0044309B">
        <w:rPr>
          <w:rFonts w:cstheme="minorHAnsi"/>
          <w:color w:val="333333"/>
          <w:shd w:val="clear" w:color="auto" w:fill="FFFFFF"/>
        </w:rPr>
        <w:t xml:space="preserve"> </w:t>
      </w:r>
      <w:r w:rsidR="00B6373B" w:rsidRPr="00893897">
        <w:rPr>
          <w:rFonts w:cstheme="minorHAnsi"/>
          <w:color w:val="333333"/>
          <w:shd w:val="clear" w:color="auto" w:fill="FFFFFF"/>
        </w:rPr>
        <w:t>:</w:t>
      </w:r>
    </w:p>
    <w:p w:rsidR="00073178" w:rsidRDefault="00B6373B" w:rsidP="00073178">
      <w:pPr>
        <w:pStyle w:val="Paragraphedeliste"/>
        <w:numPr>
          <w:ilvl w:val="0"/>
          <w:numId w:val="2"/>
        </w:numPr>
        <w:jc w:val="both"/>
        <w:rPr>
          <w:rFonts w:cstheme="minorHAnsi"/>
          <w:color w:val="333333"/>
          <w:shd w:val="clear" w:color="auto" w:fill="FFFFFF"/>
        </w:rPr>
      </w:pPr>
      <w:r w:rsidRPr="00893897">
        <w:rPr>
          <w:rFonts w:cstheme="minorHAnsi"/>
          <w:color w:val="333333"/>
          <w:shd w:val="clear" w:color="auto" w:fill="FFFFFF"/>
        </w:rPr>
        <w:t>Promouvoir la santé sexuelle, en part</w:t>
      </w:r>
      <w:r w:rsidR="00073178">
        <w:rPr>
          <w:rFonts w:cstheme="minorHAnsi"/>
          <w:color w:val="333333"/>
          <w:shd w:val="clear" w:color="auto" w:fill="FFFFFF"/>
        </w:rPr>
        <w:t xml:space="preserve">iculier en direction des jeunes : </w:t>
      </w:r>
    </w:p>
    <w:p w:rsidR="00B6373B" w:rsidRPr="00893897" w:rsidRDefault="00073178" w:rsidP="00073178">
      <w:pPr>
        <w:pStyle w:val="Paragraphedeliste"/>
        <w:ind w:left="420"/>
        <w:jc w:val="both"/>
        <w:rPr>
          <w:rFonts w:cstheme="minorHAnsi"/>
          <w:color w:val="333333"/>
          <w:shd w:val="clear" w:color="auto" w:fill="FFFFFF"/>
        </w:rPr>
      </w:pPr>
      <w:r>
        <w:rPr>
          <w:rFonts w:cstheme="minorHAnsi"/>
          <w:color w:val="333333"/>
          <w:shd w:val="clear" w:color="auto" w:fill="FFFFFF"/>
        </w:rPr>
        <w:t xml:space="preserve">Exemple : </w:t>
      </w:r>
      <w:r w:rsidRPr="00073178">
        <w:rPr>
          <w:rFonts w:cstheme="minorHAnsi"/>
          <w:color w:val="333333"/>
          <w:shd w:val="clear" w:color="auto" w:fill="FFFFFF"/>
        </w:rPr>
        <w:t>Actions d'informations et d'échanges en particulier avec les jeunes âgés de 11 à 18 ans autour de la santé sexuelle</w:t>
      </w:r>
      <w:r>
        <w:rPr>
          <w:rFonts w:cstheme="minorHAnsi"/>
          <w:color w:val="333333"/>
          <w:shd w:val="clear" w:color="auto" w:fill="FFFFFF"/>
        </w:rPr>
        <w:t>.</w:t>
      </w:r>
    </w:p>
    <w:p w:rsidR="00073178" w:rsidRDefault="00B6373B" w:rsidP="00073178">
      <w:pPr>
        <w:pStyle w:val="Paragraphedeliste"/>
        <w:numPr>
          <w:ilvl w:val="0"/>
          <w:numId w:val="2"/>
        </w:numPr>
        <w:jc w:val="both"/>
        <w:rPr>
          <w:rFonts w:cstheme="minorHAnsi"/>
          <w:color w:val="333333"/>
          <w:shd w:val="clear" w:color="auto" w:fill="FFFFFF"/>
        </w:rPr>
      </w:pPr>
      <w:r w:rsidRPr="00893897">
        <w:rPr>
          <w:rFonts w:cstheme="minorHAnsi"/>
          <w:color w:val="333333"/>
          <w:shd w:val="clear" w:color="auto" w:fill="FFFFFF"/>
        </w:rPr>
        <w:t xml:space="preserve">Améliorer le parcours de santé en matière d’infections sexuellement transmissibles (IST), dont </w:t>
      </w:r>
      <w:r w:rsidR="00073178">
        <w:rPr>
          <w:rFonts w:cstheme="minorHAnsi"/>
          <w:color w:val="333333"/>
          <w:shd w:val="clear" w:color="auto" w:fill="FFFFFF"/>
        </w:rPr>
        <w:t xml:space="preserve">le VIH et les hépatites virales : </w:t>
      </w:r>
    </w:p>
    <w:p w:rsidR="00B6373B" w:rsidRPr="00893897" w:rsidRDefault="00073178" w:rsidP="00073178">
      <w:pPr>
        <w:pStyle w:val="Paragraphedeliste"/>
        <w:ind w:left="420"/>
        <w:jc w:val="both"/>
        <w:rPr>
          <w:rFonts w:cstheme="minorHAnsi"/>
          <w:color w:val="333333"/>
          <w:shd w:val="clear" w:color="auto" w:fill="FFFFFF"/>
        </w:rPr>
      </w:pPr>
      <w:r>
        <w:rPr>
          <w:rFonts w:cstheme="minorHAnsi"/>
          <w:color w:val="333333"/>
          <w:shd w:val="clear" w:color="auto" w:fill="FFFFFF"/>
        </w:rPr>
        <w:t xml:space="preserve">Exemple : </w:t>
      </w:r>
      <w:r w:rsidRPr="00073178">
        <w:rPr>
          <w:rFonts w:cstheme="minorHAnsi"/>
          <w:color w:val="333333"/>
          <w:shd w:val="clear" w:color="auto" w:fill="FFFFFF"/>
        </w:rPr>
        <w:t>Soutenir l’accompagnement personnalisé des personnes suite à un dépistage VIH/VHC positif</w:t>
      </w:r>
      <w:r>
        <w:rPr>
          <w:rFonts w:cstheme="minorHAnsi"/>
          <w:color w:val="333333"/>
          <w:shd w:val="clear" w:color="auto" w:fill="FFFFFF"/>
        </w:rPr>
        <w:t>.</w:t>
      </w:r>
    </w:p>
    <w:p w:rsidR="00B6373B" w:rsidRPr="00893897" w:rsidRDefault="00073178" w:rsidP="0044309B">
      <w:pPr>
        <w:pStyle w:val="Paragraphedeliste"/>
        <w:numPr>
          <w:ilvl w:val="0"/>
          <w:numId w:val="2"/>
        </w:numPr>
        <w:jc w:val="both"/>
        <w:rPr>
          <w:rFonts w:cstheme="minorHAnsi"/>
          <w:color w:val="333333"/>
          <w:shd w:val="clear" w:color="auto" w:fill="FFFFFF"/>
        </w:rPr>
      </w:pPr>
      <w:r>
        <w:rPr>
          <w:rFonts w:cstheme="minorHAnsi"/>
          <w:color w:val="333333"/>
          <w:shd w:val="clear" w:color="auto" w:fill="FFFFFF"/>
        </w:rPr>
        <w:t>Améliorer la santé reproductive.</w:t>
      </w:r>
    </w:p>
    <w:p w:rsidR="00B6373B" w:rsidRDefault="00B6373B" w:rsidP="0044309B">
      <w:pPr>
        <w:pStyle w:val="Paragraphedeliste"/>
        <w:numPr>
          <w:ilvl w:val="0"/>
          <w:numId w:val="2"/>
        </w:numPr>
        <w:jc w:val="both"/>
        <w:rPr>
          <w:rFonts w:cstheme="minorHAnsi"/>
          <w:color w:val="333333"/>
          <w:shd w:val="clear" w:color="auto" w:fill="FFFFFF"/>
        </w:rPr>
      </w:pPr>
      <w:r w:rsidRPr="00893897">
        <w:rPr>
          <w:rFonts w:cstheme="minorHAnsi"/>
          <w:color w:val="333333"/>
          <w:shd w:val="clear" w:color="auto" w:fill="FFFFFF"/>
        </w:rPr>
        <w:t>Répondre aux besoins spécifiques des p</w:t>
      </w:r>
      <w:r w:rsidR="00073178">
        <w:rPr>
          <w:rFonts w:cstheme="minorHAnsi"/>
          <w:color w:val="333333"/>
          <w:shd w:val="clear" w:color="auto" w:fill="FFFFFF"/>
        </w:rPr>
        <w:t>opulations les plus vulnérables :</w:t>
      </w:r>
    </w:p>
    <w:p w:rsidR="00073178" w:rsidRDefault="00073178" w:rsidP="00073178">
      <w:pPr>
        <w:pStyle w:val="Paragraphedeliste"/>
        <w:ind w:left="420"/>
        <w:jc w:val="both"/>
        <w:rPr>
          <w:rFonts w:cstheme="minorHAnsi"/>
          <w:color w:val="333333"/>
          <w:shd w:val="clear" w:color="auto" w:fill="FFFFFF"/>
        </w:rPr>
      </w:pPr>
      <w:r>
        <w:rPr>
          <w:rFonts w:cstheme="minorHAnsi"/>
          <w:color w:val="333333"/>
          <w:shd w:val="clear" w:color="auto" w:fill="FFFFFF"/>
        </w:rPr>
        <w:t xml:space="preserve">Exemple : </w:t>
      </w:r>
      <w:r w:rsidRPr="00073178">
        <w:rPr>
          <w:rFonts w:cstheme="minorHAnsi"/>
          <w:color w:val="333333"/>
          <w:shd w:val="clear" w:color="auto" w:fill="FFFFFF"/>
        </w:rPr>
        <w:t>Promouvoir l’éducation à la parentalité, vie intime affective et sexuelle des personnes en situation de handicap</w:t>
      </w:r>
      <w:r w:rsidR="000D6089">
        <w:rPr>
          <w:rFonts w:cstheme="minorHAnsi"/>
          <w:color w:val="333333"/>
          <w:shd w:val="clear" w:color="auto" w:fill="FFFFFF"/>
        </w:rPr>
        <w:t>.</w:t>
      </w:r>
      <w:bookmarkStart w:id="0" w:name="_GoBack"/>
      <w:bookmarkEnd w:id="0"/>
    </w:p>
    <w:p w:rsidR="00AE523F" w:rsidRPr="00893897" w:rsidRDefault="00AE523F" w:rsidP="00893897">
      <w:pPr>
        <w:jc w:val="both"/>
        <w:rPr>
          <w:rFonts w:cstheme="minorHAnsi"/>
          <w:color w:val="333333"/>
          <w:shd w:val="clear" w:color="auto" w:fill="FFFFFF"/>
        </w:rPr>
      </w:pPr>
    </w:p>
    <w:p w:rsidR="00921096" w:rsidRPr="00893897" w:rsidRDefault="00921096" w:rsidP="00893897">
      <w:pPr>
        <w:jc w:val="both"/>
        <w:rPr>
          <w:rFonts w:cstheme="minorHAnsi"/>
          <w:color w:val="333333"/>
          <w:shd w:val="clear" w:color="auto" w:fill="FFFFFF"/>
        </w:rPr>
      </w:pPr>
    </w:p>
    <w:p w:rsidR="00B6373B" w:rsidRPr="00893897" w:rsidRDefault="00B6373B" w:rsidP="00893897">
      <w:pPr>
        <w:jc w:val="both"/>
        <w:rPr>
          <w:rFonts w:cstheme="minorHAnsi"/>
        </w:rPr>
      </w:pPr>
    </w:p>
    <w:sectPr w:rsidR="00B6373B" w:rsidRPr="00893897" w:rsidSect="00EE067D">
      <w:pgSz w:w="11906" w:h="16838"/>
      <w:pgMar w:top="567" w:right="991"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854A81"/>
    <w:multiLevelType w:val="hybridMultilevel"/>
    <w:tmpl w:val="F202F390"/>
    <w:lvl w:ilvl="0" w:tplc="5344A768">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5B8679A7"/>
    <w:multiLevelType w:val="hybridMultilevel"/>
    <w:tmpl w:val="9D3EE47A"/>
    <w:lvl w:ilvl="0" w:tplc="040C0001">
      <w:start w:val="1"/>
      <w:numFmt w:val="bullet"/>
      <w:lvlText w:val=""/>
      <w:lvlJc w:val="left"/>
      <w:pPr>
        <w:ind w:left="420" w:hanging="360"/>
      </w:pPr>
      <w:rPr>
        <w:rFonts w:ascii="Symbol" w:hAnsi="Symbo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73B"/>
    <w:rsid w:val="00073178"/>
    <w:rsid w:val="000D6089"/>
    <w:rsid w:val="0044309B"/>
    <w:rsid w:val="007E1245"/>
    <w:rsid w:val="00893897"/>
    <w:rsid w:val="00921096"/>
    <w:rsid w:val="009611CA"/>
    <w:rsid w:val="00AE523F"/>
    <w:rsid w:val="00B6373B"/>
    <w:rsid w:val="00BE0521"/>
    <w:rsid w:val="00EE06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F432D"/>
  <w15:chartTrackingRefBased/>
  <w15:docId w15:val="{E21FDF7E-30C8-4336-A100-1F1DF3B6F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6373B"/>
    <w:pPr>
      <w:ind w:left="720"/>
      <w:contextualSpacing/>
    </w:pPr>
  </w:style>
  <w:style w:type="character" w:styleId="Lienhypertexte">
    <w:name w:val="Hyperlink"/>
    <w:basedOn w:val="Policepardfaut"/>
    <w:uiPriority w:val="99"/>
    <w:unhideWhenUsed/>
    <w:rsid w:val="008938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lidarites-sante.gouv.fr/IMG/pdf/strategie_nationale_sante_sexuell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400</Words>
  <Characters>2200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ARS</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MORACCHINI, Déborah</dc:creator>
  <cp:keywords/>
  <dc:description/>
  <cp:lastModifiedBy>MEGE, Laurent</cp:lastModifiedBy>
  <cp:revision>7</cp:revision>
  <dcterms:created xsi:type="dcterms:W3CDTF">2022-02-21T11:08:00Z</dcterms:created>
  <dcterms:modified xsi:type="dcterms:W3CDTF">2022-02-23T07:08:00Z</dcterms:modified>
</cp:coreProperties>
</file>