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5F1" w:rsidRDefault="00B24942" w:rsidP="00C665F1">
      <w:pPr>
        <w:jc w:val="center"/>
        <w:rPr>
          <w:b/>
        </w:rPr>
      </w:pPr>
      <w:r>
        <w:rPr>
          <w:b/>
        </w:rPr>
        <w:t xml:space="preserve">FAQ </w:t>
      </w:r>
    </w:p>
    <w:p w:rsidR="00293BE2" w:rsidRDefault="00B24942" w:rsidP="00C665F1">
      <w:pPr>
        <w:jc w:val="center"/>
        <w:rPr>
          <w:b/>
        </w:rPr>
      </w:pPr>
      <w:r>
        <w:rPr>
          <w:b/>
        </w:rPr>
        <w:t xml:space="preserve"> Formation du 14 novembre 2020</w:t>
      </w:r>
    </w:p>
    <w:p w:rsidR="00250177" w:rsidRDefault="00250177" w:rsidP="004157AE">
      <w:pPr>
        <w:rPr>
          <w:b/>
          <w:caps/>
          <w:color w:val="C00000"/>
        </w:rPr>
      </w:pPr>
    </w:p>
    <w:p w:rsidR="004157AE" w:rsidRPr="001F332C" w:rsidRDefault="004A24E3" w:rsidP="004157AE">
      <w:pPr>
        <w:rPr>
          <w:b/>
          <w:caps/>
          <w:color w:val="C00000"/>
        </w:rPr>
      </w:pPr>
      <w:r>
        <w:rPr>
          <w:b/>
          <w:caps/>
          <w:color w:val="C00000"/>
        </w:rPr>
        <w:t xml:space="preserve">1- </w:t>
      </w:r>
      <w:r w:rsidR="001F332C" w:rsidRPr="001F332C">
        <w:rPr>
          <w:b/>
          <w:caps/>
          <w:color w:val="C00000"/>
        </w:rPr>
        <w:t>Aspects organisationnels généraux en crise COVID</w:t>
      </w:r>
    </w:p>
    <w:p w:rsidR="001F332C" w:rsidRPr="001F332C" w:rsidRDefault="001F332C" w:rsidP="001F332C">
      <w:pPr>
        <w:rPr>
          <w:b/>
          <w:color w:val="1F4E79" w:themeColor="accent1" w:themeShade="80"/>
        </w:rPr>
      </w:pPr>
      <w:r w:rsidRPr="001F332C">
        <w:rPr>
          <w:b/>
          <w:color w:val="1F4E79" w:themeColor="accent1" w:themeShade="80"/>
        </w:rPr>
        <w:t>-Quel</w:t>
      </w:r>
      <w:r w:rsidR="00250177">
        <w:rPr>
          <w:b/>
          <w:color w:val="1F4E79" w:themeColor="accent1" w:themeShade="80"/>
        </w:rPr>
        <w:t xml:space="preserve"> est l'intérêt d'appeler le SAMU </w:t>
      </w:r>
      <w:r w:rsidRPr="001F332C">
        <w:rPr>
          <w:b/>
          <w:color w:val="1F4E79" w:themeColor="accent1" w:themeShade="80"/>
        </w:rPr>
        <w:t>en dehors d'un transfert vers le CH ?</w:t>
      </w:r>
    </w:p>
    <w:p w:rsidR="00E70752" w:rsidRDefault="00250177" w:rsidP="00CE2291">
      <w:pPr>
        <w:ind w:left="708"/>
      </w:pPr>
      <w:r>
        <w:t>L’appel du centre 15 permet de gérer l’admission du patient directe ou différée</w:t>
      </w:r>
      <w:r w:rsidR="001F332C">
        <w:t xml:space="preserve">. </w:t>
      </w:r>
    </w:p>
    <w:p w:rsidR="001F332C" w:rsidRDefault="00E70752" w:rsidP="00CE2291">
      <w:pPr>
        <w:ind w:left="708"/>
      </w:pPr>
      <w:r>
        <w:t>Nb : Une fiche spécifique pour ces patients est en cours d’élaboration par la cellule de crise COVID du CHA</w:t>
      </w:r>
    </w:p>
    <w:p w:rsidR="007545A5" w:rsidRDefault="007545A5" w:rsidP="001F332C">
      <w:pPr>
        <w:rPr>
          <w:b/>
          <w:color w:val="1F4E79" w:themeColor="accent1" w:themeShade="80"/>
        </w:rPr>
      </w:pPr>
      <w:r w:rsidRPr="00E70752">
        <w:rPr>
          <w:b/>
          <w:color w:val="1F4E79" w:themeColor="accent1" w:themeShade="80"/>
        </w:rPr>
        <w:t>- Le centre 15 a –t-il accès à globule ?</w:t>
      </w:r>
    </w:p>
    <w:p w:rsidR="00E70752" w:rsidRPr="00E70752" w:rsidRDefault="00E70752" w:rsidP="00CE2291">
      <w:pPr>
        <w:ind w:firstLine="708"/>
      </w:pPr>
      <w:r w:rsidRPr="00E70752">
        <w:t>Non</w:t>
      </w:r>
    </w:p>
    <w:p w:rsidR="001F332C" w:rsidRDefault="001F332C" w:rsidP="004157AE">
      <w:pPr>
        <w:rPr>
          <w:b/>
          <w:color w:val="1F4E79" w:themeColor="accent1" w:themeShade="80"/>
        </w:rPr>
      </w:pPr>
      <w:r w:rsidRPr="00B24942">
        <w:rPr>
          <w:b/>
          <w:color w:val="1F4E79" w:themeColor="accent1" w:themeShade="80"/>
        </w:rPr>
        <w:t>-</w:t>
      </w:r>
      <w:r w:rsidRPr="00250177">
        <w:rPr>
          <w:b/>
          <w:color w:val="1F4E79" w:themeColor="accent1" w:themeShade="80"/>
        </w:rPr>
        <w:t xml:space="preserve"> Quels sont les recours/appuis pour les professionnels de ville ?</w:t>
      </w:r>
    </w:p>
    <w:p w:rsidR="00B24942" w:rsidRPr="00B24942" w:rsidRDefault="00B24942" w:rsidP="00CE2291">
      <w:pPr>
        <w:ind w:left="708"/>
      </w:pPr>
      <w:r w:rsidRPr="00B24942">
        <w:t>Les différents numéros d’astreinte sont diffusés par l’intermédiaire de l</w:t>
      </w:r>
      <w:r>
        <w:t>’URPS Médecins.</w:t>
      </w:r>
    </w:p>
    <w:p w:rsidR="004157AE" w:rsidRDefault="001F332C">
      <w:pPr>
        <w:rPr>
          <w:b/>
          <w:color w:val="1F4E79" w:themeColor="accent1" w:themeShade="80"/>
        </w:rPr>
      </w:pPr>
      <w:r w:rsidRPr="00B24942">
        <w:rPr>
          <w:b/>
          <w:color w:val="1F4E79" w:themeColor="accent1" w:themeShade="80"/>
        </w:rPr>
        <w:t xml:space="preserve">- </w:t>
      </w:r>
      <w:r w:rsidR="004157AE" w:rsidRPr="00B24942">
        <w:rPr>
          <w:b/>
          <w:color w:val="1F4E79" w:themeColor="accent1" w:themeShade="80"/>
        </w:rPr>
        <w:t>Qui prescrit/ fournit les masques FFP2 recommandés pour l’entourage au domicile ?</w:t>
      </w:r>
    </w:p>
    <w:p w:rsidR="00E70752" w:rsidRDefault="00BF7B47" w:rsidP="00CE2291">
      <w:pPr>
        <w:ind w:firstLine="360"/>
      </w:pPr>
      <w:r>
        <w:t xml:space="preserve">Il n’y a pas de circuit spécifique pour la délivrance des </w:t>
      </w:r>
      <w:r w:rsidR="00892BAA">
        <w:t xml:space="preserve">FFP2 en ville pour l’entourage </w:t>
      </w:r>
      <w:r>
        <w:t>au domicile.</w:t>
      </w:r>
    </w:p>
    <w:p w:rsidR="004B6D38" w:rsidRPr="00E70752" w:rsidRDefault="004B6D38">
      <w:bookmarkStart w:id="0" w:name="_GoBack"/>
      <w:bookmarkEnd w:id="0"/>
    </w:p>
    <w:p w:rsidR="004157AE" w:rsidRPr="004A24E3" w:rsidRDefault="00B40D2D" w:rsidP="004A24E3">
      <w:pPr>
        <w:pStyle w:val="Paragraphedeliste"/>
        <w:numPr>
          <w:ilvl w:val="0"/>
          <w:numId w:val="6"/>
        </w:numPr>
        <w:rPr>
          <w:b/>
          <w:color w:val="C00000"/>
        </w:rPr>
      </w:pPr>
      <w:r w:rsidRPr="004A24E3">
        <w:rPr>
          <w:b/>
          <w:color w:val="C00000"/>
        </w:rPr>
        <w:t>BILAN INITIAL</w:t>
      </w:r>
    </w:p>
    <w:p w:rsidR="007545A5" w:rsidRPr="007545A5" w:rsidRDefault="007545A5">
      <w:pPr>
        <w:rPr>
          <w:b/>
          <w:color w:val="1F4E79" w:themeColor="accent1" w:themeShade="80"/>
        </w:rPr>
      </w:pPr>
      <w:r w:rsidRPr="007545A5">
        <w:rPr>
          <w:b/>
          <w:color w:val="1F4E79" w:themeColor="accent1" w:themeShade="80"/>
        </w:rPr>
        <w:t xml:space="preserve">Pourquoi prescrire l’urée alors que la </w:t>
      </w:r>
      <w:r w:rsidR="003648F5" w:rsidRPr="007545A5">
        <w:rPr>
          <w:b/>
          <w:color w:val="1F4E79" w:themeColor="accent1" w:themeShade="80"/>
        </w:rPr>
        <w:t>créatininémie</w:t>
      </w:r>
      <w:r w:rsidRPr="007545A5">
        <w:rPr>
          <w:b/>
          <w:color w:val="1F4E79" w:themeColor="accent1" w:themeShade="80"/>
        </w:rPr>
        <w:t xml:space="preserve"> est suffisante pour estimer le débit de filtration glomérulaire ?</w:t>
      </w:r>
    </w:p>
    <w:p w:rsidR="007545A5" w:rsidRDefault="007545A5" w:rsidP="00CE2291">
      <w:pPr>
        <w:ind w:left="708"/>
      </w:pPr>
      <w:r w:rsidRPr="007545A5">
        <w:t>C’est une aide pour différencier insuffisance rénale fonctionnelle v</w:t>
      </w:r>
      <w:r w:rsidR="004A24E3">
        <w:t>ersus</w:t>
      </w:r>
      <w:r w:rsidRPr="007545A5">
        <w:t xml:space="preserve"> organique et donc présager de l’intérêt d</w:t>
      </w:r>
      <w:r w:rsidR="003648F5">
        <w:t>’un remplissage vasculaire.</w:t>
      </w:r>
    </w:p>
    <w:p w:rsidR="007545A5" w:rsidRDefault="00B24942" w:rsidP="00CE2291">
      <w:pPr>
        <w:ind w:left="708"/>
      </w:pPr>
      <w:r>
        <w:t>N</w:t>
      </w:r>
      <w:r w:rsidR="007545A5">
        <w:t xml:space="preserve">b : </w:t>
      </w:r>
      <w:r w:rsidR="007545A5" w:rsidRPr="007545A5">
        <w:t xml:space="preserve">Une élévation de l’urée plus importante que la créatinine </w:t>
      </w:r>
      <w:r w:rsidR="007545A5">
        <w:t>(Purée/</w:t>
      </w:r>
      <w:proofErr w:type="spellStart"/>
      <w:r w:rsidR="007545A5">
        <w:t>Pcréat</w:t>
      </w:r>
      <w:proofErr w:type="spellEnd"/>
      <w:r w:rsidR="007545A5" w:rsidRPr="007545A5">
        <w:t>&gt; 100</w:t>
      </w:r>
      <w:r w:rsidR="007545A5">
        <w:t xml:space="preserve">)   </w:t>
      </w:r>
      <w:r w:rsidR="007545A5" w:rsidRPr="007545A5">
        <w:t>est en faveur d’une IRA fonctionnelle.</w:t>
      </w:r>
    </w:p>
    <w:p w:rsidR="003648F5" w:rsidRPr="003648F5" w:rsidRDefault="00B24942">
      <w:pPr>
        <w:rPr>
          <w:b/>
          <w:color w:val="1F4E79" w:themeColor="accent1" w:themeShade="80"/>
        </w:rPr>
      </w:pPr>
      <w:r>
        <w:rPr>
          <w:b/>
          <w:color w:val="1F4E79" w:themeColor="accent1" w:themeShade="80"/>
        </w:rPr>
        <w:t xml:space="preserve">Pourquoi doser la </w:t>
      </w:r>
      <w:proofErr w:type="spellStart"/>
      <w:r>
        <w:rPr>
          <w:b/>
          <w:color w:val="1F4E79" w:themeColor="accent1" w:themeShade="80"/>
        </w:rPr>
        <w:t>M</w:t>
      </w:r>
      <w:r w:rsidR="003648F5" w:rsidRPr="003648F5">
        <w:rPr>
          <w:b/>
          <w:color w:val="1F4E79" w:themeColor="accent1" w:themeShade="80"/>
        </w:rPr>
        <w:t>agnésémie</w:t>
      </w:r>
      <w:proofErr w:type="spellEnd"/>
      <w:r w:rsidR="00E70752">
        <w:rPr>
          <w:b/>
          <w:color w:val="1F4E79" w:themeColor="accent1" w:themeShade="80"/>
        </w:rPr>
        <w:t>, la</w:t>
      </w:r>
      <w:r>
        <w:rPr>
          <w:b/>
          <w:color w:val="1F4E79" w:themeColor="accent1" w:themeShade="80"/>
        </w:rPr>
        <w:t xml:space="preserve"> </w:t>
      </w:r>
      <w:proofErr w:type="spellStart"/>
      <w:r>
        <w:rPr>
          <w:b/>
          <w:color w:val="1F4E79" w:themeColor="accent1" w:themeShade="80"/>
        </w:rPr>
        <w:t>P</w:t>
      </w:r>
      <w:r w:rsidR="003648F5" w:rsidRPr="003648F5">
        <w:rPr>
          <w:b/>
          <w:color w:val="1F4E79" w:themeColor="accent1" w:themeShade="80"/>
        </w:rPr>
        <w:t>hosphorémie</w:t>
      </w:r>
      <w:proofErr w:type="spellEnd"/>
      <w:r w:rsidR="003648F5" w:rsidRPr="003648F5">
        <w:rPr>
          <w:b/>
          <w:color w:val="1F4E79" w:themeColor="accent1" w:themeShade="80"/>
        </w:rPr>
        <w:t xml:space="preserve"> et </w:t>
      </w:r>
      <w:r w:rsidR="00E70752">
        <w:rPr>
          <w:b/>
          <w:color w:val="1F4E79" w:themeColor="accent1" w:themeShade="80"/>
        </w:rPr>
        <w:t xml:space="preserve">la </w:t>
      </w:r>
      <w:r>
        <w:rPr>
          <w:b/>
          <w:color w:val="1F4E79" w:themeColor="accent1" w:themeShade="80"/>
        </w:rPr>
        <w:t>C</w:t>
      </w:r>
      <w:r w:rsidR="003648F5" w:rsidRPr="003648F5">
        <w:rPr>
          <w:b/>
          <w:color w:val="1F4E79" w:themeColor="accent1" w:themeShade="80"/>
        </w:rPr>
        <w:t>alcémie ?</w:t>
      </w:r>
    </w:p>
    <w:p w:rsidR="003648F5" w:rsidRDefault="003648F5" w:rsidP="00CE2291">
      <w:pPr>
        <w:ind w:left="708"/>
      </w:pPr>
      <w:r>
        <w:t>Important car les déficits sont fréquents dans ces tableaux sévères infectieux et nécessitent une supplémentation</w:t>
      </w:r>
      <w:r w:rsidR="00E70752">
        <w:t xml:space="preserve"> </w:t>
      </w:r>
      <w:r w:rsidR="004A24E3">
        <w:t>précoce.</w:t>
      </w:r>
    </w:p>
    <w:p w:rsidR="003648F5" w:rsidRPr="003648F5" w:rsidRDefault="003648F5">
      <w:pPr>
        <w:rPr>
          <w:b/>
          <w:color w:val="1F4E79" w:themeColor="accent1" w:themeShade="80"/>
        </w:rPr>
      </w:pPr>
      <w:r w:rsidRPr="003648F5">
        <w:rPr>
          <w:b/>
          <w:color w:val="1F4E79" w:themeColor="accent1" w:themeShade="80"/>
        </w:rPr>
        <w:t xml:space="preserve">Pourquoi on ne </w:t>
      </w:r>
      <w:r w:rsidR="004A24E3">
        <w:rPr>
          <w:b/>
          <w:color w:val="1F4E79" w:themeColor="accent1" w:themeShade="80"/>
        </w:rPr>
        <w:t>dose pas l’albuminémie et la pré-</w:t>
      </w:r>
      <w:r w:rsidRPr="003648F5">
        <w:rPr>
          <w:b/>
          <w:color w:val="1F4E79" w:themeColor="accent1" w:themeShade="80"/>
        </w:rPr>
        <w:t>albuminémie dans le bilan initial pour détecter et suivre la dénutrition ?</w:t>
      </w:r>
    </w:p>
    <w:p w:rsidR="003648F5" w:rsidRPr="007545A5" w:rsidRDefault="003648F5" w:rsidP="00CE2291">
      <w:pPr>
        <w:ind w:left="708"/>
        <w:jc w:val="both"/>
      </w:pPr>
      <w:r>
        <w:t>On peut le faire. Néanmoins, attention, dans ces situations infectieuses aigues et sévères, l’hyper</w:t>
      </w:r>
      <w:r w:rsidR="004A24E3">
        <w:t>-</w:t>
      </w:r>
      <w:r>
        <w:t>catabolisme peut mener à une dénutrition sévère très rapide avec des</w:t>
      </w:r>
      <w:r w:rsidR="00E70752">
        <w:t xml:space="preserve"> paramètres biologiques normaux</w:t>
      </w:r>
      <w:r>
        <w:t>. Un dosage normal ne doit pas faire retarder la prise en charge s’il existe des signes de dénutrition clinique (cf</w:t>
      </w:r>
      <w:r w:rsidR="004A24E3">
        <w:t>.</w:t>
      </w:r>
      <w:r>
        <w:t xml:space="preserve"> apports alimentaires diminués et/ou perte de poids).</w:t>
      </w:r>
    </w:p>
    <w:p w:rsidR="00B40D2D" w:rsidRPr="00B40D2D" w:rsidRDefault="00B40D2D">
      <w:pPr>
        <w:rPr>
          <w:b/>
          <w:color w:val="1F4E79" w:themeColor="accent1" w:themeShade="80"/>
        </w:rPr>
      </w:pPr>
      <w:r w:rsidRPr="00B40D2D">
        <w:rPr>
          <w:b/>
          <w:color w:val="1F4E79" w:themeColor="accent1" w:themeShade="80"/>
        </w:rPr>
        <w:lastRenderedPageBreak/>
        <w:t>Pourquoi ne pas prescrire la troponine et le BNP en systématique </w:t>
      </w:r>
      <w:r>
        <w:rPr>
          <w:b/>
          <w:color w:val="1F4E79" w:themeColor="accent1" w:themeShade="80"/>
        </w:rPr>
        <w:t>alors que l</w:t>
      </w:r>
      <w:r w:rsidR="004A24E3">
        <w:rPr>
          <w:b/>
          <w:color w:val="1F4E79" w:themeColor="accent1" w:themeShade="80"/>
        </w:rPr>
        <w:t>a Covid</w:t>
      </w:r>
      <w:r w:rsidRPr="00B40D2D">
        <w:rPr>
          <w:b/>
          <w:color w:val="1F4E79" w:themeColor="accent1" w:themeShade="80"/>
        </w:rPr>
        <w:t xml:space="preserve"> peut donner des atteintes cardiaques?</w:t>
      </w:r>
    </w:p>
    <w:p w:rsidR="00B40D2D" w:rsidRPr="00B40D2D" w:rsidRDefault="00B40D2D" w:rsidP="00CE2291">
      <w:pPr>
        <w:ind w:left="708"/>
        <w:jc w:val="both"/>
        <w:rPr>
          <w:u w:val="single"/>
        </w:rPr>
      </w:pPr>
      <w:r w:rsidRPr="00B40D2D">
        <w:rPr>
          <w:u w:val="single"/>
        </w:rPr>
        <w:t>Eléments de physiopathologie</w:t>
      </w:r>
    </w:p>
    <w:p w:rsidR="00B40D2D" w:rsidRPr="00B40D2D" w:rsidRDefault="00B40D2D" w:rsidP="00CE2291">
      <w:pPr>
        <w:ind w:left="708"/>
        <w:contextualSpacing/>
        <w:jc w:val="both"/>
      </w:pPr>
      <w:r w:rsidRPr="00B40D2D">
        <w:rPr>
          <w:i/>
        </w:rPr>
        <w:t>Troponine</w:t>
      </w:r>
      <w:r w:rsidRPr="00B40D2D">
        <w:t xml:space="preserve"> : Une augmentation du taux de troponine traduit une lésion myocardique qui peut survenir dans différentes conditions et en particulier chez les patients souffrant d’infections respiratoires sévères, et notamment par COVID 19. Cette </w:t>
      </w:r>
      <w:r w:rsidRPr="00B40D2D">
        <w:rPr>
          <w:b/>
        </w:rPr>
        <w:t>augmentation est souvent proportionnelle à la sévérité de l’atteinte respiratoire</w:t>
      </w:r>
      <w:r w:rsidRPr="00B40D2D">
        <w:t>. L’augmentation de la troponine est associée à un mauvais pronostic chez patients hospitalisés</w:t>
      </w:r>
      <w:r w:rsidR="004A24E3">
        <w:t>.</w:t>
      </w:r>
      <w:r w:rsidRPr="00B40D2D">
        <w:t xml:space="preserve"> </w:t>
      </w:r>
    </w:p>
    <w:p w:rsidR="00F41BD4" w:rsidRDefault="00F41BD4" w:rsidP="00CE2291">
      <w:pPr>
        <w:ind w:left="708"/>
        <w:contextualSpacing/>
        <w:jc w:val="both"/>
      </w:pPr>
    </w:p>
    <w:p w:rsidR="00F41BD4" w:rsidRDefault="00B40D2D" w:rsidP="00CE2291">
      <w:pPr>
        <w:ind w:left="708"/>
        <w:contextualSpacing/>
        <w:jc w:val="both"/>
      </w:pPr>
      <w:r w:rsidRPr="00B40D2D">
        <w:t>Les causes de cette lésion myocardique ne sont pas encore précisément connues.</w:t>
      </w:r>
    </w:p>
    <w:p w:rsidR="00B40D2D" w:rsidRPr="00B40D2D" w:rsidRDefault="00B40D2D" w:rsidP="00CE2291">
      <w:pPr>
        <w:ind w:left="708"/>
        <w:contextualSpacing/>
        <w:jc w:val="both"/>
      </w:pPr>
      <w:r w:rsidRPr="00B40D2D">
        <w:t xml:space="preserve"> Plusieurs mécanismes peuvent en être à l’origine :</w:t>
      </w:r>
    </w:p>
    <w:p w:rsidR="00B40D2D" w:rsidRPr="00B40D2D" w:rsidRDefault="00B40D2D" w:rsidP="00D22597">
      <w:pPr>
        <w:ind w:left="720" w:firstLine="567"/>
        <w:contextualSpacing/>
      </w:pPr>
    </w:p>
    <w:p w:rsidR="00B40D2D" w:rsidRPr="00B40D2D" w:rsidRDefault="00B40D2D" w:rsidP="00CE2291">
      <w:pPr>
        <w:ind w:left="720" w:firstLine="567"/>
        <w:contextualSpacing/>
        <w:jc w:val="both"/>
      </w:pPr>
      <w:r w:rsidRPr="00B40D2D">
        <w:rPr>
          <w:b/>
        </w:rPr>
        <w:t xml:space="preserve">    Une atteinte myocardique directe d’origine non coronaire</w:t>
      </w:r>
      <w:r w:rsidRPr="00B40D2D">
        <w:t xml:space="preserve"> est certainement </w:t>
      </w:r>
      <w:proofErr w:type="gramStart"/>
      <w:r w:rsidRPr="00B40D2D">
        <w:t>la</w:t>
      </w:r>
      <w:proofErr w:type="gramEnd"/>
      <w:r w:rsidRPr="00B40D2D">
        <w:t xml:space="preserve"> plus fréquente : les cardiomyocytes expriment l’ACE2 (</w:t>
      </w:r>
      <w:proofErr w:type="spellStart"/>
      <w:r w:rsidRPr="00B40D2D">
        <w:t>angiotensin</w:t>
      </w:r>
      <w:proofErr w:type="spellEnd"/>
      <w:r w:rsidRPr="00B40D2D">
        <w:t xml:space="preserve"> </w:t>
      </w:r>
      <w:proofErr w:type="spellStart"/>
      <w:r w:rsidRPr="00B40D2D">
        <w:t>converting</w:t>
      </w:r>
      <w:proofErr w:type="spellEnd"/>
      <w:r w:rsidRPr="00B40D2D">
        <w:t xml:space="preserve"> enzyme 2), une </w:t>
      </w:r>
      <w:proofErr w:type="spellStart"/>
      <w:r w:rsidRPr="00B40D2D">
        <w:t>métalloprotéinase</w:t>
      </w:r>
      <w:proofErr w:type="spellEnd"/>
      <w:r w:rsidRPr="00B40D2D">
        <w:t xml:space="preserve"> homologue à l’enzyme de conversion qui est un récepteur et une porte d’entrée du SARS-CoV-2 dans les cellules. Pour cette raison, plusieurs auteurs pensent qu’une myocardite pourrait rentrer dans le tableau de COVID-19 et expliquer l’élévation de troponine. Cette hypothèse est renforcée par l’existence de dysfonctions ventriculaires gauches aigues décrites chez plusieurs patients ;</w:t>
      </w:r>
    </w:p>
    <w:p w:rsidR="00B40D2D" w:rsidRPr="00B40D2D" w:rsidRDefault="00B40D2D" w:rsidP="00CE2291">
      <w:pPr>
        <w:ind w:left="720" w:firstLine="567"/>
        <w:contextualSpacing/>
        <w:jc w:val="both"/>
      </w:pPr>
    </w:p>
    <w:p w:rsidR="00B40D2D" w:rsidRPr="00B40D2D" w:rsidRDefault="00B40D2D" w:rsidP="00CE2291">
      <w:pPr>
        <w:ind w:left="720" w:firstLine="567"/>
        <w:contextualSpacing/>
        <w:jc w:val="both"/>
      </w:pPr>
      <w:r w:rsidRPr="00B40D2D">
        <w:t xml:space="preserve">    </w:t>
      </w:r>
      <w:r w:rsidRPr="00B40D2D">
        <w:rPr>
          <w:b/>
        </w:rPr>
        <w:t>Une atteinte myocardique indirecte d’origine coronaire par infarctus du myocarde de type 1 (rupture de plaque</w:t>
      </w:r>
      <w:r w:rsidRPr="00B40D2D">
        <w:t xml:space="preserve"> favorisée par l’infection comme c’est le cas pour la grippe (5)) ou infarctus de myocarde de type </w:t>
      </w:r>
      <w:r w:rsidRPr="00B40D2D">
        <w:rPr>
          <w:b/>
        </w:rPr>
        <w:t>2 (inadéquation entre la demande et l’apport en oxygène du fait de l’insuffisance respiratoire)</w:t>
      </w:r>
      <w:r w:rsidRPr="00B40D2D">
        <w:t xml:space="preserve"> est également possible.</w:t>
      </w:r>
    </w:p>
    <w:p w:rsidR="00B40D2D" w:rsidRPr="00B40D2D" w:rsidRDefault="00B40D2D" w:rsidP="00CE2291">
      <w:pPr>
        <w:ind w:left="720" w:firstLine="567"/>
        <w:contextualSpacing/>
        <w:jc w:val="both"/>
      </w:pPr>
      <w:r w:rsidRPr="00B40D2D">
        <w:t xml:space="preserve">En dehors de l’infarctus de type 1 prouvé, aucune donnée n’existe pour recommander l’administration d’un traitement </w:t>
      </w:r>
      <w:proofErr w:type="spellStart"/>
      <w:r w:rsidRPr="00B40D2D">
        <w:t>antithrombotique</w:t>
      </w:r>
      <w:proofErr w:type="spellEnd"/>
      <w:r w:rsidRPr="00B40D2D">
        <w:t xml:space="preserve"> (antiagrégant plaquettaire ou anticoagulant) en cas de lésion myocardique secondaire au COVID-19.</w:t>
      </w:r>
    </w:p>
    <w:p w:rsidR="00B40D2D" w:rsidRPr="00B40D2D" w:rsidRDefault="00B40D2D" w:rsidP="00CE2291">
      <w:pPr>
        <w:ind w:left="720" w:firstLine="567"/>
        <w:contextualSpacing/>
        <w:jc w:val="both"/>
      </w:pPr>
    </w:p>
    <w:p w:rsidR="00B40D2D" w:rsidRPr="00B40D2D" w:rsidRDefault="00B40D2D" w:rsidP="00CE2291">
      <w:pPr>
        <w:ind w:left="720" w:firstLine="567"/>
        <w:contextualSpacing/>
        <w:jc w:val="both"/>
      </w:pPr>
      <w:r w:rsidRPr="00B40D2D">
        <w:rPr>
          <w:i/>
        </w:rPr>
        <w:t>BNP :</w:t>
      </w:r>
      <w:r w:rsidRPr="00B40D2D">
        <w:t xml:space="preserve"> Les peptides </w:t>
      </w:r>
      <w:proofErr w:type="spellStart"/>
      <w:r w:rsidRPr="00B40D2D">
        <w:t>natriurétiques</w:t>
      </w:r>
      <w:proofErr w:type="spellEnd"/>
      <w:r w:rsidRPr="00B40D2D">
        <w:t xml:space="preserve"> (BNP et NT-pro-BNP) sont des marqueurs du stress myocardique et s’élèvent également en cas de pathologie respiratoire sévère en l’absence de dysfonction cardiaque clinique ou échographique. Leur élévation est aussi associée à un pronostic plus sombre chez des patients présentant un </w:t>
      </w:r>
      <w:proofErr w:type="gramStart"/>
      <w:r w:rsidRPr="00B40D2D">
        <w:t>SDRA .</w:t>
      </w:r>
      <w:proofErr w:type="gramEnd"/>
    </w:p>
    <w:p w:rsidR="00B40D2D" w:rsidRPr="00B40D2D" w:rsidRDefault="00B40D2D" w:rsidP="00CE2291">
      <w:pPr>
        <w:ind w:left="720" w:firstLine="567"/>
        <w:contextualSpacing/>
        <w:jc w:val="both"/>
      </w:pPr>
    </w:p>
    <w:p w:rsidR="00B40D2D" w:rsidRPr="00B40D2D" w:rsidRDefault="00B40D2D" w:rsidP="00CE2291">
      <w:pPr>
        <w:ind w:left="720" w:firstLine="567"/>
        <w:contextualSpacing/>
        <w:jc w:val="both"/>
      </w:pPr>
      <w:r w:rsidRPr="00B40D2D">
        <w:t xml:space="preserve">A ce titre, les patients avec COVID-19 présentent souvent une élévation des peptides </w:t>
      </w:r>
      <w:proofErr w:type="spellStart"/>
      <w:r w:rsidRPr="00B40D2D">
        <w:t>natriurétiques</w:t>
      </w:r>
      <w:proofErr w:type="spellEnd"/>
      <w:r w:rsidRPr="00B40D2D">
        <w:t>. En l’absence de signe clinique d’insuffisance cardiaque, cette élévation ne doit pas faire démarrer un traitement de l’insuffisance cardiaque dans ce contexte</w:t>
      </w:r>
    </w:p>
    <w:p w:rsidR="00F41BD4" w:rsidRDefault="00F41BD4" w:rsidP="00F41BD4"/>
    <w:p w:rsidR="00B40D2D" w:rsidRPr="003B24D9" w:rsidRDefault="00B40D2D" w:rsidP="00CE2291">
      <w:pPr>
        <w:ind w:firstLine="708"/>
        <w:rPr>
          <w:b/>
          <w:u w:val="single"/>
        </w:rPr>
      </w:pPr>
      <w:r w:rsidRPr="003B24D9">
        <w:rPr>
          <w:b/>
          <w:u w:val="single"/>
        </w:rPr>
        <w:t>Points clés :</w:t>
      </w:r>
    </w:p>
    <w:p w:rsidR="00B40D2D" w:rsidRPr="00B40D2D" w:rsidRDefault="00B40D2D" w:rsidP="00D22597">
      <w:pPr>
        <w:ind w:left="720" w:firstLine="567"/>
        <w:contextualSpacing/>
      </w:pPr>
      <w:r w:rsidRPr="00B40D2D">
        <w:t xml:space="preserve">A)    </w:t>
      </w:r>
      <w:r w:rsidRPr="00B40D2D">
        <w:rPr>
          <w:b/>
        </w:rPr>
        <w:t>Ne mesurer le taux de troponine qu’en cas de suspicion clinique d’infarctus du myocarde</w:t>
      </w:r>
      <w:r w:rsidRPr="00B40D2D">
        <w:t xml:space="preserve"> </w:t>
      </w:r>
      <w:r w:rsidRPr="00B40D2D">
        <w:rPr>
          <w:b/>
        </w:rPr>
        <w:t>ou de myocardite</w:t>
      </w:r>
      <w:r w:rsidRPr="00B40D2D">
        <w:t xml:space="preserve"> (dysfonction ventriculaire gauche) et non pas devant toute suspicion ou cas de COVID-19 ;</w:t>
      </w:r>
    </w:p>
    <w:p w:rsidR="00B40D2D" w:rsidRPr="00B40D2D" w:rsidRDefault="00B40D2D" w:rsidP="00D22597">
      <w:pPr>
        <w:ind w:left="720" w:firstLine="567"/>
        <w:contextualSpacing/>
      </w:pPr>
      <w:r w:rsidRPr="00B40D2D">
        <w:lastRenderedPageBreak/>
        <w:t xml:space="preserve">  B)  En l’absence de signe clinique d’insuffisance cardiaque, une élévation de BNP ne doit pas faire démarrer un traitement de l’insuffisance cardiaque dans un contexte d’infection COVID </w:t>
      </w:r>
    </w:p>
    <w:p w:rsidR="00B40D2D" w:rsidRPr="00B40D2D" w:rsidRDefault="00B40D2D" w:rsidP="00D22597">
      <w:pPr>
        <w:ind w:left="720" w:firstLine="567"/>
        <w:contextualSpacing/>
      </w:pPr>
      <w:r w:rsidRPr="00B40D2D">
        <w:t xml:space="preserve">   C) </w:t>
      </w:r>
      <w:r w:rsidRPr="00B40D2D">
        <w:rPr>
          <w:b/>
        </w:rPr>
        <w:t>Une élévation isolée des biomarqueurs ne pourra PAS être considérée comme une preuve de diagnostic d’insuffisance cardiaque ou d’infarctus</w:t>
      </w:r>
      <w:r w:rsidRPr="00B40D2D">
        <w:t>.</w:t>
      </w:r>
    </w:p>
    <w:p w:rsidR="00F41BD4" w:rsidRDefault="00F41BD4" w:rsidP="00F41BD4"/>
    <w:p w:rsidR="00B40D2D" w:rsidRPr="003B24D9" w:rsidRDefault="00B40D2D" w:rsidP="00F41BD4">
      <w:pPr>
        <w:rPr>
          <w:b/>
          <w:u w:val="single"/>
        </w:rPr>
      </w:pPr>
      <w:r w:rsidRPr="003B24D9">
        <w:rPr>
          <w:b/>
          <w:u w:val="single"/>
        </w:rPr>
        <w:t>En pratique :</w:t>
      </w:r>
    </w:p>
    <w:p w:rsidR="00B40D2D" w:rsidRPr="00B40D2D" w:rsidRDefault="00F41BD4" w:rsidP="00D22597">
      <w:pPr>
        <w:ind w:left="720" w:firstLine="567"/>
        <w:contextualSpacing/>
      </w:pPr>
      <w:r>
        <w:t>- P</w:t>
      </w:r>
      <w:r w:rsidR="00B40D2D" w:rsidRPr="00B40D2D">
        <w:t>as de tropo</w:t>
      </w:r>
      <w:r w:rsidR="003B24D9">
        <w:t>nine</w:t>
      </w:r>
      <w:r w:rsidR="00B40D2D" w:rsidRPr="00B40D2D">
        <w:t xml:space="preserve"> ni de BNP dans bilan bio initial </w:t>
      </w:r>
    </w:p>
    <w:p w:rsidR="00B40D2D" w:rsidRDefault="00B40D2D" w:rsidP="00D22597">
      <w:pPr>
        <w:ind w:left="720" w:firstLine="567"/>
        <w:contextualSpacing/>
      </w:pPr>
      <w:r w:rsidRPr="00B40D2D">
        <w:t xml:space="preserve">- si douleur thoracique et/ou apparition d’une dysfonction VG =&gt; transfert aux urgences pour </w:t>
      </w:r>
      <w:proofErr w:type="spellStart"/>
      <w:r w:rsidRPr="00B40D2D">
        <w:t>tropo</w:t>
      </w:r>
      <w:proofErr w:type="spellEnd"/>
      <w:r w:rsidRPr="00B40D2D">
        <w:t>/BNP+ avis cardio</w:t>
      </w:r>
      <w:r>
        <w:t xml:space="preserve"> si pas de possibilité d’avoir des résultats dans l’heure.</w:t>
      </w:r>
    </w:p>
    <w:p w:rsidR="00F41710" w:rsidRPr="00B40D2D" w:rsidRDefault="00F41710" w:rsidP="00B40D2D">
      <w:pPr>
        <w:ind w:left="720"/>
        <w:contextualSpacing/>
        <w:rPr>
          <w:color w:val="1F4E79" w:themeColor="accent1" w:themeShade="80"/>
        </w:rPr>
      </w:pPr>
    </w:p>
    <w:p w:rsidR="00B40D2D" w:rsidRDefault="00F41710">
      <w:pPr>
        <w:rPr>
          <w:b/>
          <w:color w:val="1F4E79" w:themeColor="accent1" w:themeShade="80"/>
        </w:rPr>
      </w:pPr>
      <w:r w:rsidRPr="00F41710">
        <w:rPr>
          <w:b/>
          <w:color w:val="1F4E79" w:themeColor="accent1" w:themeShade="80"/>
        </w:rPr>
        <w:t>Pourquoi ne pas doser les triglycérides dans le bilan initial ?</w:t>
      </w:r>
    </w:p>
    <w:p w:rsidR="00F41710" w:rsidRPr="00F41710" w:rsidRDefault="00F41710" w:rsidP="00CE2291">
      <w:pPr>
        <w:ind w:left="708"/>
        <w:jc w:val="both"/>
      </w:pPr>
      <w:r w:rsidRPr="00F41710">
        <w:t xml:space="preserve">L’élévation des  triglycérides se voit en cas de syndrome d’activation </w:t>
      </w:r>
      <w:proofErr w:type="spellStart"/>
      <w:r w:rsidRPr="00F41710">
        <w:t>macrophagique</w:t>
      </w:r>
      <w:proofErr w:type="spellEnd"/>
      <w:r w:rsidRPr="00F41710">
        <w:t>, au moment de l’aggravation clinique des patients mais n’a pas été décrit comme un marqueur pronostic dans bilan initial</w:t>
      </w:r>
      <w:r>
        <w:rPr>
          <w:rStyle w:val="Appelnotedebasdep"/>
        </w:rPr>
        <w:footnoteReference w:id="1"/>
      </w:r>
    </w:p>
    <w:p w:rsidR="00F41710" w:rsidRDefault="00F41710" w:rsidP="00CE2291">
      <w:pPr>
        <w:ind w:left="708"/>
        <w:jc w:val="both"/>
      </w:pPr>
      <w:r w:rsidRPr="00F41710">
        <w:rPr>
          <w:u w:val="single"/>
        </w:rPr>
        <w:t>En pratique :</w:t>
      </w:r>
      <w:r w:rsidRPr="00F41710">
        <w:t xml:space="preserve"> Réserver le dosage des TG</w:t>
      </w:r>
      <w:r w:rsidR="003B24D9">
        <w:t xml:space="preserve"> en cas d’aggravation clinique </w:t>
      </w:r>
      <w:r w:rsidRPr="00F41710">
        <w:t xml:space="preserve">et a priori à l’hôpital pour calcul du score de SAM </w:t>
      </w:r>
      <w:hyperlink r:id="rId8" w:history="1">
        <w:r w:rsidR="004B6D38" w:rsidRPr="007B33D7">
          <w:rPr>
            <w:rStyle w:val="Lienhypertexte"/>
          </w:rPr>
          <w:t>http://saintantoine.aphp.fr/score/</w:t>
        </w:r>
      </w:hyperlink>
      <w:r w:rsidRPr="00F41710">
        <w:t>)</w:t>
      </w:r>
      <w:r w:rsidR="004B6D38">
        <w:t>.</w:t>
      </w:r>
    </w:p>
    <w:p w:rsidR="004B6D38" w:rsidRPr="00CE2291" w:rsidRDefault="004B6D38" w:rsidP="00B24942">
      <w:pPr>
        <w:rPr>
          <w:sz w:val="16"/>
          <w:szCs w:val="16"/>
        </w:rPr>
      </w:pPr>
    </w:p>
    <w:p w:rsidR="00293BE2" w:rsidRPr="003B24D9" w:rsidRDefault="00C031D1" w:rsidP="003B24D9">
      <w:pPr>
        <w:pStyle w:val="Paragraphedeliste"/>
        <w:numPr>
          <w:ilvl w:val="0"/>
          <w:numId w:val="6"/>
        </w:numPr>
        <w:rPr>
          <w:b/>
          <w:color w:val="C00000"/>
        </w:rPr>
      </w:pPr>
      <w:r w:rsidRPr="003B24D9">
        <w:rPr>
          <w:b/>
          <w:color w:val="C00000"/>
        </w:rPr>
        <w:t>OXYGENE</w:t>
      </w:r>
    </w:p>
    <w:p w:rsidR="00E16B4E" w:rsidRPr="00C031D1" w:rsidRDefault="00E16B4E">
      <w:pPr>
        <w:rPr>
          <w:i/>
          <w:color w:val="C00000"/>
        </w:rPr>
      </w:pPr>
      <w:r w:rsidRPr="00C031D1">
        <w:rPr>
          <w:i/>
          <w:color w:val="C00000"/>
        </w:rPr>
        <w:t>Aspects organisationnels :</w:t>
      </w:r>
    </w:p>
    <w:p w:rsidR="00E16B4E" w:rsidRDefault="00E16B4E" w:rsidP="00E16B4E">
      <w:pPr>
        <w:rPr>
          <w:b/>
          <w:color w:val="1F4E79" w:themeColor="accent1" w:themeShade="80"/>
        </w:rPr>
      </w:pPr>
      <w:r w:rsidRPr="00AF1589">
        <w:rPr>
          <w:b/>
          <w:color w:val="1F4E79" w:themeColor="accent1" w:themeShade="80"/>
        </w:rPr>
        <w:t xml:space="preserve">- Quelles sont les capacités de la Corse en appareils O2 et </w:t>
      </w:r>
      <w:proofErr w:type="spellStart"/>
      <w:r w:rsidRPr="00AF1589">
        <w:rPr>
          <w:b/>
          <w:color w:val="1F4E79" w:themeColor="accent1" w:themeShade="80"/>
        </w:rPr>
        <w:t>saturomètres</w:t>
      </w:r>
      <w:proofErr w:type="spellEnd"/>
      <w:r w:rsidRPr="00AF1589">
        <w:rPr>
          <w:b/>
          <w:color w:val="1F4E79" w:themeColor="accent1" w:themeShade="80"/>
        </w:rPr>
        <w:t>?</w:t>
      </w:r>
    </w:p>
    <w:p w:rsidR="0071536F" w:rsidRPr="00B24942" w:rsidRDefault="00AF1589" w:rsidP="00CE2291">
      <w:pPr>
        <w:ind w:left="708"/>
        <w:jc w:val="both"/>
      </w:pPr>
      <w:r>
        <w:t xml:space="preserve">La Corse dispose de </w:t>
      </w:r>
      <w:r w:rsidR="0071536F" w:rsidRPr="00B24942">
        <w:t>sites de dispensation relevant de structures dispensatrices d’oxygène à usage médical réparties sur le ter</w:t>
      </w:r>
      <w:r w:rsidR="00775E16">
        <w:t>ritoire (</w:t>
      </w:r>
      <w:proofErr w:type="spellStart"/>
      <w:r w:rsidR="00775E16">
        <w:t>Cf</w:t>
      </w:r>
      <w:proofErr w:type="spellEnd"/>
      <w:r w:rsidR="00775E16">
        <w:t> ; cartographie</w:t>
      </w:r>
      <w:r w:rsidR="0071536F" w:rsidRPr="00B24942">
        <w:t xml:space="preserve">). Chacune d’elle dispose d’une astreinte 24/24 - 7/7 permettant à un praticien de la joindre pour mettre en œuvre une installation en oxygène médical (liquide, gazeux, concentrateurs) en urgence. Cette obligation est réglementaire.   </w:t>
      </w:r>
    </w:p>
    <w:p w:rsidR="00AF1589" w:rsidRDefault="00AF1589" w:rsidP="00AF1589">
      <w:pPr>
        <w:ind w:left="708"/>
        <w:jc w:val="both"/>
        <w:rPr>
          <w:rFonts w:ascii="Calibri" w:hAnsi="Calibri" w:cs="Calibri"/>
          <w:color w:val="000000"/>
        </w:rPr>
      </w:pPr>
      <w:r>
        <w:t>Il est à noter que l</w:t>
      </w:r>
      <w:r w:rsidRPr="00AF1589">
        <w:t xml:space="preserve">’oxygène médical ne figure sur aucune liste et ne fait pas partie de la réserve hospitalière. Il </w:t>
      </w:r>
      <w:r w:rsidRPr="00AF1589">
        <w:rPr>
          <w:b/>
          <w:bCs/>
        </w:rPr>
        <w:t xml:space="preserve">n’existe de fait pas de restriction à la dispensation d’oxygène </w:t>
      </w:r>
      <w:r w:rsidRPr="00AF1589">
        <w:t xml:space="preserve">médicinal liée au statut du produit autre que son statut de médicament. La livraison directe aux praticiens par </w:t>
      </w:r>
      <w:r w:rsidRPr="00AF1589">
        <w:lastRenderedPageBreak/>
        <w:t xml:space="preserve">les laboratoires fabricants/exploitants est rendue possible en vertu de l’article R.5124-43 du Code de la Santé Publique dès lors que cet usage est destiné à l’emploi </w:t>
      </w:r>
      <w:r w:rsidRPr="00AF1589">
        <w:rPr>
          <w:b/>
          <w:bCs/>
        </w:rPr>
        <w:t xml:space="preserve">exclusif par le médecin pour son usage professionnel </w:t>
      </w:r>
      <w:r w:rsidRPr="00AF1589">
        <w:t xml:space="preserve">cet usage professionnel étant attesté sur la </w:t>
      </w:r>
      <w:r w:rsidRPr="00AF1589">
        <w:rPr>
          <w:b/>
          <w:bCs/>
        </w:rPr>
        <w:t>commande de médicament tel que mentionné à l’article R5132-4 du CSP.</w:t>
      </w:r>
      <w:r w:rsidRPr="00AF1589">
        <w:rPr>
          <w:rFonts w:ascii="Calibri" w:hAnsi="Calibri" w:cs="Calibri"/>
          <w:color w:val="000000"/>
        </w:rPr>
        <w:t xml:space="preserve"> </w:t>
      </w:r>
    </w:p>
    <w:p w:rsidR="00AF1589" w:rsidRDefault="00AF1589" w:rsidP="00AF1589">
      <w:pPr>
        <w:ind w:left="708"/>
        <w:jc w:val="both"/>
        <w:rPr>
          <w:bCs/>
        </w:rPr>
      </w:pPr>
      <w:r w:rsidRPr="00AF1589">
        <w:rPr>
          <w:bCs/>
        </w:rPr>
        <w:t xml:space="preserve">L’approvisionnement des médecins libéraux en oxygène à usage médical peut se faire via différents circuits : </w:t>
      </w:r>
    </w:p>
    <w:p w:rsidR="00AF1589" w:rsidRDefault="00AF1589" w:rsidP="00AF1589">
      <w:pPr>
        <w:ind w:left="708"/>
        <w:jc w:val="both"/>
        <w:rPr>
          <w:bCs/>
        </w:rPr>
      </w:pPr>
      <w:r>
        <w:rPr>
          <w:bCs/>
        </w:rPr>
        <w:t>1/</w:t>
      </w:r>
      <w:r w:rsidRPr="00AF1589">
        <w:rPr>
          <w:bCs/>
        </w:rPr>
        <w:t xml:space="preserve">Approvisionnement </w:t>
      </w:r>
      <w:r>
        <w:rPr>
          <w:bCs/>
        </w:rPr>
        <w:t xml:space="preserve">auprès d’officines partenaires </w:t>
      </w:r>
      <w:r w:rsidRPr="00AF1589">
        <w:rPr>
          <w:bCs/>
        </w:rPr>
        <w:t>et détentrices d’un certain stock</w:t>
      </w:r>
      <w:r w:rsidRPr="00AF1589">
        <w:rPr>
          <w:bCs/>
        </w:rPr>
        <w:t xml:space="preserve"> (</w:t>
      </w:r>
      <w:r w:rsidR="00892BAA">
        <w:rPr>
          <w:bCs/>
        </w:rPr>
        <w:t>cf. cartographie</w:t>
      </w:r>
      <w:r w:rsidRPr="00AF1589">
        <w:rPr>
          <w:bCs/>
        </w:rPr>
        <w:t>)</w:t>
      </w:r>
      <w:r>
        <w:rPr>
          <w:bCs/>
        </w:rPr>
        <w:t>.</w:t>
      </w:r>
    </w:p>
    <w:p w:rsidR="00AF1589" w:rsidRPr="00B24942" w:rsidRDefault="00AF1589" w:rsidP="00AF1589">
      <w:pPr>
        <w:ind w:left="708"/>
        <w:jc w:val="both"/>
      </w:pPr>
      <w:r>
        <w:rPr>
          <w:rFonts w:ascii="Calibri" w:hAnsi="Calibri" w:cs="Calibri"/>
          <w:color w:val="000000"/>
          <w:sz w:val="24"/>
          <w:szCs w:val="24"/>
        </w:rPr>
        <w:t>2/</w:t>
      </w:r>
      <w:r w:rsidRPr="00AF1589">
        <w:rPr>
          <w:rFonts w:ascii="Calibri" w:hAnsi="Calibri" w:cs="Calibri"/>
          <w:color w:val="000000"/>
          <w:sz w:val="24"/>
          <w:szCs w:val="24"/>
        </w:rPr>
        <w:t xml:space="preserve"> </w:t>
      </w:r>
      <w:r w:rsidRPr="00AF1589">
        <w:rPr>
          <w:rFonts w:ascii="Calibri" w:hAnsi="Calibri" w:cs="Calibri"/>
          <w:bCs/>
          <w:color w:val="000000"/>
        </w:rPr>
        <w:t>Approvisionnement auprès d’</w:t>
      </w:r>
      <w:r>
        <w:rPr>
          <w:rFonts w:ascii="Calibri" w:hAnsi="Calibri" w:cs="Calibri"/>
          <w:bCs/>
          <w:color w:val="000000"/>
        </w:rPr>
        <w:t xml:space="preserve">un établissement pharmaceutique. </w:t>
      </w:r>
      <w:r w:rsidRPr="00B24942">
        <w:t>Chaque médecin peut en outre, en contractualisant avec LINDE et / ou SOL France bénéf</w:t>
      </w:r>
      <w:r>
        <w:t>icier d’un stock en gaz médical.</w:t>
      </w:r>
    </w:p>
    <w:p w:rsidR="00153354" w:rsidRPr="00153354" w:rsidRDefault="0071536F" w:rsidP="00153354">
      <w:pPr>
        <w:ind w:left="708"/>
        <w:jc w:val="both"/>
      </w:pPr>
      <w:r w:rsidRPr="00B24942">
        <w:t>Au regard d’une situation de crise covid-19, et comme partagé lors de la réunion à laquelle les structures dispensatrices et les URPS (médecins, pharmaciens et IDE) ont récemment été conviées, il ne doit pas être mis en place des stocks</w:t>
      </w:r>
      <w:r w:rsidR="00153354">
        <w:t xml:space="preserve"> de concentrateurs dans les EMS,</w:t>
      </w:r>
      <w:r w:rsidR="00153354" w:rsidRPr="00153354">
        <w:rPr>
          <w:rFonts w:ascii="Calibri" w:hAnsi="Calibri" w:cs="Calibri"/>
          <w:color w:val="FF0000"/>
        </w:rPr>
        <w:t xml:space="preserve"> </w:t>
      </w:r>
      <w:r w:rsidR="00153354" w:rsidRPr="00153354">
        <w:t xml:space="preserve">afin que les prestataires conservent dans leur stock de quelques concentrateurs, rapidement disponibles en tout point du territoire. </w:t>
      </w:r>
    </w:p>
    <w:p w:rsidR="0071536F" w:rsidRPr="00B24942" w:rsidRDefault="00153354" w:rsidP="00CE2291">
      <w:pPr>
        <w:ind w:left="708"/>
        <w:jc w:val="both"/>
      </w:pPr>
      <w:r>
        <w:t xml:space="preserve"> </w:t>
      </w:r>
      <w:r w:rsidR="0071536F" w:rsidRPr="00B24942">
        <w:t xml:space="preserve"> </w:t>
      </w:r>
    </w:p>
    <w:p w:rsidR="00E16B4E" w:rsidRDefault="00E16B4E" w:rsidP="00E16B4E">
      <w:pPr>
        <w:rPr>
          <w:b/>
          <w:color w:val="1F4E79" w:themeColor="accent1" w:themeShade="80"/>
        </w:rPr>
      </w:pPr>
      <w:r w:rsidRPr="0071536F">
        <w:rPr>
          <w:b/>
          <w:color w:val="1F4E79" w:themeColor="accent1" w:themeShade="80"/>
        </w:rPr>
        <w:t xml:space="preserve">- </w:t>
      </w:r>
      <w:r w:rsidR="0071536F" w:rsidRPr="0071536F">
        <w:rPr>
          <w:b/>
          <w:color w:val="1F4E79" w:themeColor="accent1" w:themeShade="80"/>
        </w:rPr>
        <w:t>Peut-on</w:t>
      </w:r>
      <w:r w:rsidRPr="0071536F">
        <w:rPr>
          <w:b/>
          <w:color w:val="1F4E79" w:themeColor="accent1" w:themeShade="80"/>
        </w:rPr>
        <w:t xml:space="preserve"> avoir le listing des prestataires O2 et des plannings de garde?</w:t>
      </w:r>
    </w:p>
    <w:p w:rsidR="00E70752" w:rsidRPr="00E70752" w:rsidRDefault="0071536F" w:rsidP="00CE2291">
      <w:pPr>
        <w:ind w:firstLine="708"/>
      </w:pPr>
      <w:r>
        <w:t>Cf. point supra.</w:t>
      </w:r>
    </w:p>
    <w:p w:rsidR="00293BE2" w:rsidRDefault="00293BE2" w:rsidP="00293BE2">
      <w:pPr>
        <w:rPr>
          <w:b/>
          <w:color w:val="1F4E79" w:themeColor="accent1" w:themeShade="80"/>
        </w:rPr>
      </w:pPr>
      <w:r w:rsidRPr="003273F1">
        <w:rPr>
          <w:b/>
          <w:color w:val="1F4E79" w:themeColor="accent1" w:themeShade="80"/>
        </w:rPr>
        <w:t>-</w:t>
      </w:r>
      <w:r w:rsidR="00E16B4E" w:rsidRPr="003273F1">
        <w:rPr>
          <w:b/>
          <w:color w:val="1F4E79" w:themeColor="accent1" w:themeShade="80"/>
        </w:rPr>
        <w:t xml:space="preserve"> D</w:t>
      </w:r>
      <w:r w:rsidRPr="003273F1">
        <w:rPr>
          <w:b/>
          <w:color w:val="1F4E79" w:themeColor="accent1" w:themeShade="80"/>
        </w:rPr>
        <w:t xml:space="preserve">ans la situation de catastrophe envisagée, que </w:t>
      </w:r>
      <w:r w:rsidR="00250177" w:rsidRPr="003273F1">
        <w:rPr>
          <w:b/>
          <w:color w:val="1F4E79" w:themeColor="accent1" w:themeShade="80"/>
        </w:rPr>
        <w:t>fait-on</w:t>
      </w:r>
      <w:r w:rsidRPr="003273F1">
        <w:rPr>
          <w:b/>
          <w:color w:val="1F4E79" w:themeColor="accent1" w:themeShade="80"/>
        </w:rPr>
        <w:t xml:space="preserve"> du patient en attendant la liv</w:t>
      </w:r>
      <w:r w:rsidR="00250177">
        <w:rPr>
          <w:b/>
          <w:color w:val="1F4E79" w:themeColor="accent1" w:themeShade="80"/>
        </w:rPr>
        <w:t>raison de l'extracteur ? le SMUR</w:t>
      </w:r>
      <w:r w:rsidRPr="003273F1">
        <w:rPr>
          <w:b/>
          <w:color w:val="1F4E79" w:themeColor="accent1" w:themeShade="80"/>
        </w:rPr>
        <w:t xml:space="preserve"> est en tension, ? les pompiers ?</w:t>
      </w:r>
    </w:p>
    <w:p w:rsidR="0071536F" w:rsidRDefault="0071536F" w:rsidP="00CE2291">
      <w:pPr>
        <w:ind w:left="708"/>
        <w:jc w:val="both"/>
      </w:pPr>
      <w:r w:rsidRPr="009C11B7">
        <w:t xml:space="preserve">On peut envisager de mettre en stock pour les CMA un extracteur et obus d’02 afin d’attendre la livraison par le prestataire. La mise en place d’un extracteur au sein des CMA doit tenir compte de l’éloignement de ces structures par rapport aux implantations des prestataires compte </w:t>
      </w:r>
      <w:r w:rsidR="009C11B7" w:rsidRPr="009C11B7">
        <w:t>tenu des</w:t>
      </w:r>
      <w:r w:rsidRPr="009C11B7">
        <w:t xml:space="preserve"> contraintes mentionnées supra en terme de disponibilité.</w:t>
      </w:r>
      <w:r>
        <w:t xml:space="preserve"> </w:t>
      </w:r>
    </w:p>
    <w:p w:rsidR="00E16B4E" w:rsidRDefault="00E16B4E" w:rsidP="00293BE2">
      <w:pPr>
        <w:rPr>
          <w:b/>
          <w:color w:val="1F4E79" w:themeColor="accent1" w:themeShade="80"/>
        </w:rPr>
      </w:pPr>
      <w:r w:rsidRPr="00ED492C">
        <w:rPr>
          <w:b/>
          <w:color w:val="1F4E79" w:themeColor="accent1" w:themeShade="80"/>
        </w:rPr>
        <w:t xml:space="preserve">- Les professionnels formés à la prise en charge de patients </w:t>
      </w:r>
      <w:proofErr w:type="spellStart"/>
      <w:r w:rsidRPr="00ED492C">
        <w:rPr>
          <w:b/>
          <w:color w:val="1F4E79" w:themeColor="accent1" w:themeShade="80"/>
        </w:rPr>
        <w:t>oxygéno</w:t>
      </w:r>
      <w:proofErr w:type="spellEnd"/>
      <w:r w:rsidR="00250177">
        <w:rPr>
          <w:b/>
          <w:color w:val="1F4E79" w:themeColor="accent1" w:themeShade="80"/>
        </w:rPr>
        <w:t>-</w:t>
      </w:r>
      <w:r w:rsidRPr="00ED492C">
        <w:rPr>
          <w:b/>
          <w:color w:val="1F4E79" w:themeColor="accent1" w:themeShade="80"/>
        </w:rPr>
        <w:t xml:space="preserve">requérants </w:t>
      </w:r>
      <w:proofErr w:type="spellStart"/>
      <w:r w:rsidR="00250177" w:rsidRPr="00ED492C">
        <w:rPr>
          <w:b/>
          <w:color w:val="1F4E79" w:themeColor="accent1" w:themeShade="80"/>
        </w:rPr>
        <w:t>vont-ils</w:t>
      </w:r>
      <w:proofErr w:type="spellEnd"/>
      <w:r w:rsidRPr="00ED492C">
        <w:rPr>
          <w:b/>
          <w:color w:val="1F4E79" w:themeColor="accent1" w:themeShade="80"/>
        </w:rPr>
        <w:t xml:space="preserve"> être sollicités pour prendre le relais en cas d'aggr</w:t>
      </w:r>
      <w:r w:rsidR="00F41BD4">
        <w:rPr>
          <w:b/>
          <w:color w:val="1F4E79" w:themeColor="accent1" w:themeShade="80"/>
        </w:rPr>
        <w:t xml:space="preserve">avation ou de difficulté de prise en charge </w:t>
      </w:r>
      <w:r w:rsidRPr="00ED492C">
        <w:rPr>
          <w:b/>
          <w:color w:val="1F4E79" w:themeColor="accent1" w:themeShade="80"/>
        </w:rPr>
        <w:t>par le MG et IDE, non formés ?</w:t>
      </w:r>
    </w:p>
    <w:p w:rsidR="001F332C" w:rsidRPr="00CE2291" w:rsidRDefault="00ED492C" w:rsidP="00CE2291">
      <w:pPr>
        <w:ind w:left="708"/>
        <w:jc w:val="both"/>
      </w:pPr>
      <w:r w:rsidRPr="00ED492C">
        <w:t>Non mais la for</w:t>
      </w:r>
      <w:r w:rsidR="009C11B7">
        <w:t>mation effectuée par le Dr B Lecom</w:t>
      </w:r>
      <w:r w:rsidRPr="00ED492C">
        <w:t xml:space="preserve">te sur ce sujet le 14 novembre </w:t>
      </w:r>
      <w:r w:rsidR="009C11B7">
        <w:t xml:space="preserve">2020 </w:t>
      </w:r>
      <w:r w:rsidRPr="00ED492C">
        <w:t xml:space="preserve">sera disponible en </w:t>
      </w:r>
      <w:proofErr w:type="spellStart"/>
      <w:r w:rsidRPr="00ED492C">
        <w:t>replay</w:t>
      </w:r>
      <w:proofErr w:type="spellEnd"/>
      <w:r w:rsidRPr="00ED492C">
        <w:t xml:space="preserve"> sur le site de l’ARS.</w:t>
      </w:r>
      <w:r>
        <w:t xml:space="preserve"> Par ailleurs, l’HAD peut être sollicitée dans ce type de prise en charge. Enfin, le prestataire doit éduquer le patient et son entourage et peut participer à la formation de l’entourage professionnel.</w:t>
      </w:r>
    </w:p>
    <w:p w:rsidR="001F332C" w:rsidRPr="001F332C" w:rsidRDefault="00E70752" w:rsidP="001F332C">
      <w:pPr>
        <w:rPr>
          <w:b/>
          <w:color w:val="1F4E79" w:themeColor="accent1" w:themeShade="80"/>
        </w:rPr>
      </w:pPr>
      <w:r>
        <w:rPr>
          <w:b/>
          <w:color w:val="1F4E79" w:themeColor="accent1" w:themeShade="80"/>
        </w:rPr>
        <w:t>-</w:t>
      </w:r>
      <w:r w:rsidR="001F332C">
        <w:rPr>
          <w:b/>
          <w:color w:val="1F4E79" w:themeColor="accent1" w:themeShade="80"/>
        </w:rPr>
        <w:t xml:space="preserve"> S’agissant des recommandations de </w:t>
      </w:r>
      <w:proofErr w:type="gramStart"/>
      <w:r w:rsidR="001F332C">
        <w:rPr>
          <w:b/>
          <w:color w:val="1F4E79" w:themeColor="accent1" w:themeShade="80"/>
        </w:rPr>
        <w:t>la</w:t>
      </w:r>
      <w:r w:rsidR="001F332C" w:rsidRPr="001F332C">
        <w:rPr>
          <w:b/>
          <w:color w:val="1F4E79" w:themeColor="accent1" w:themeShade="80"/>
        </w:rPr>
        <w:t xml:space="preserve"> HAS</w:t>
      </w:r>
      <w:proofErr w:type="gramEnd"/>
      <w:r w:rsidR="001F332C" w:rsidRPr="001F332C">
        <w:rPr>
          <w:b/>
          <w:color w:val="1F4E79" w:themeColor="accent1" w:themeShade="80"/>
        </w:rPr>
        <w:t xml:space="preserve"> sur les patients </w:t>
      </w:r>
      <w:proofErr w:type="spellStart"/>
      <w:r w:rsidR="001F332C" w:rsidRPr="001F332C">
        <w:rPr>
          <w:b/>
          <w:color w:val="1F4E79" w:themeColor="accent1" w:themeShade="80"/>
        </w:rPr>
        <w:t>oxygeno</w:t>
      </w:r>
      <w:proofErr w:type="spellEnd"/>
      <w:r w:rsidR="00A044C2">
        <w:rPr>
          <w:b/>
          <w:color w:val="1F4E79" w:themeColor="accent1" w:themeShade="80"/>
        </w:rPr>
        <w:t>-</w:t>
      </w:r>
      <w:r w:rsidR="001F332C" w:rsidRPr="001F332C">
        <w:rPr>
          <w:b/>
          <w:color w:val="1F4E79" w:themeColor="accent1" w:themeShade="80"/>
        </w:rPr>
        <w:t>requérant</w:t>
      </w:r>
      <w:r w:rsidR="00A044C2">
        <w:rPr>
          <w:b/>
          <w:color w:val="1F4E79" w:themeColor="accent1" w:themeShade="80"/>
        </w:rPr>
        <w:t>s</w:t>
      </w:r>
      <w:r w:rsidR="001F332C" w:rsidRPr="001F332C">
        <w:rPr>
          <w:b/>
          <w:color w:val="1F4E79" w:themeColor="accent1" w:themeShade="80"/>
        </w:rPr>
        <w:t xml:space="preserve"> à domicile</w:t>
      </w:r>
      <w:r w:rsidR="001F332C">
        <w:rPr>
          <w:b/>
          <w:color w:val="1F4E79" w:themeColor="accent1" w:themeShade="80"/>
        </w:rPr>
        <w:t xml:space="preserve"> (donc en dehors d’une situation de saturation du système de santé)</w:t>
      </w:r>
      <w:r w:rsidR="00A044C2">
        <w:rPr>
          <w:b/>
          <w:color w:val="1F4E79" w:themeColor="accent1" w:themeShade="80"/>
        </w:rPr>
        <w:t xml:space="preserve"> et les critères en termes de </w:t>
      </w:r>
      <w:r w:rsidR="001F332C" w:rsidRPr="001F332C">
        <w:rPr>
          <w:b/>
          <w:color w:val="1F4E79" w:themeColor="accent1" w:themeShade="80"/>
        </w:rPr>
        <w:t>distance du domicile à</w:t>
      </w:r>
      <w:r w:rsidR="001F332C">
        <w:rPr>
          <w:b/>
          <w:color w:val="1F4E79" w:themeColor="accent1" w:themeShade="80"/>
        </w:rPr>
        <w:t xml:space="preserve"> moins de 30 min que </w:t>
      </w:r>
      <w:r w:rsidR="00A044C2">
        <w:rPr>
          <w:b/>
          <w:color w:val="1F4E79" w:themeColor="accent1" w:themeShade="80"/>
        </w:rPr>
        <w:t>faut-il</w:t>
      </w:r>
      <w:r w:rsidR="001F332C">
        <w:rPr>
          <w:b/>
          <w:color w:val="1F4E79" w:themeColor="accent1" w:themeShade="80"/>
        </w:rPr>
        <w:t xml:space="preserve"> comprendre</w:t>
      </w:r>
      <w:r w:rsidR="001F332C" w:rsidRPr="001F332C">
        <w:rPr>
          <w:b/>
          <w:color w:val="1F4E79" w:themeColor="accent1" w:themeShade="80"/>
        </w:rPr>
        <w:t xml:space="preserve"> ? </w:t>
      </w:r>
    </w:p>
    <w:p w:rsidR="001F332C" w:rsidRDefault="001F332C" w:rsidP="00CE2291">
      <w:pPr>
        <w:ind w:left="708"/>
        <w:jc w:val="both"/>
        <w:rPr>
          <w:b/>
        </w:rPr>
      </w:pPr>
      <w:r w:rsidRPr="001F332C">
        <w:t xml:space="preserve">Les recommandations HAS sur la possibilité de prendre en charge des patients COVID </w:t>
      </w:r>
      <w:proofErr w:type="spellStart"/>
      <w:r w:rsidRPr="001F332C">
        <w:t>oxygeno</w:t>
      </w:r>
      <w:proofErr w:type="spellEnd"/>
      <w:r w:rsidR="009E013F">
        <w:t>-</w:t>
      </w:r>
      <w:r w:rsidRPr="001F332C">
        <w:t>requérant</w:t>
      </w:r>
      <w:r w:rsidR="00A044C2">
        <w:t>s</w:t>
      </w:r>
      <w:r w:rsidR="009C11B7">
        <w:t xml:space="preserve"> à domicile en aigu </w:t>
      </w:r>
      <w:r w:rsidRPr="001F332C">
        <w:rPr>
          <w:b/>
        </w:rPr>
        <w:t xml:space="preserve">ne s’appliquent que pour les patients qui répondent </w:t>
      </w:r>
      <w:r w:rsidRPr="009E013F">
        <w:rPr>
          <w:b/>
          <w:u w:val="single"/>
        </w:rPr>
        <w:t>strictement</w:t>
      </w:r>
      <w:r w:rsidRPr="001F332C">
        <w:rPr>
          <w:b/>
        </w:rPr>
        <w:t xml:space="preserve"> aux critères d’éligibilité</w:t>
      </w:r>
      <w:r w:rsidRPr="001F332C">
        <w:t xml:space="preserve"> et notamment il est nécessaire que le </w:t>
      </w:r>
      <w:r w:rsidRPr="001F332C">
        <w:rPr>
          <w:b/>
        </w:rPr>
        <w:t xml:space="preserve">domicile du patient </w:t>
      </w:r>
      <w:r w:rsidRPr="001F332C">
        <w:rPr>
          <w:b/>
        </w:rPr>
        <w:lastRenderedPageBreak/>
        <w:t>soit situé à moins de 30 minutes de l’éta</w:t>
      </w:r>
      <w:r w:rsidR="00A044C2">
        <w:rPr>
          <w:b/>
        </w:rPr>
        <w:t xml:space="preserve">blissement de santé </w:t>
      </w:r>
      <w:r w:rsidRPr="001F332C">
        <w:rPr>
          <w:b/>
        </w:rPr>
        <w:t>disposant d'une structure d'urgence</w:t>
      </w:r>
      <w:r w:rsidRPr="001F332C">
        <w:t xml:space="preserve"> (mais pas nécessairement d’une </w:t>
      </w:r>
      <w:r w:rsidR="009E013F" w:rsidRPr="001F332C">
        <w:t>réanimation</w:t>
      </w:r>
      <w:r w:rsidRPr="001F332C">
        <w:t xml:space="preserve">) </w:t>
      </w:r>
      <w:r w:rsidRPr="001F332C">
        <w:rPr>
          <w:b/>
        </w:rPr>
        <w:t xml:space="preserve">ou d'un </w:t>
      </w:r>
      <w:r w:rsidR="00A044C2">
        <w:rPr>
          <w:b/>
        </w:rPr>
        <w:t>antenne SMUR</w:t>
      </w:r>
      <w:r w:rsidRPr="001F332C">
        <w:t xml:space="preserve">. Comme la disponibilité </w:t>
      </w:r>
      <w:r>
        <w:t>de l’</w:t>
      </w:r>
      <w:r w:rsidR="009E013F">
        <w:t>hélicoptère</w:t>
      </w:r>
      <w:r>
        <w:t xml:space="preserve"> est incertaine</w:t>
      </w:r>
      <w:r w:rsidRPr="001F332C">
        <w:t xml:space="preserve">, il faut retenir qu’il s’agit </w:t>
      </w:r>
      <w:r>
        <w:t xml:space="preserve">d’un </w:t>
      </w:r>
      <w:r w:rsidRPr="001F332C">
        <w:rPr>
          <w:b/>
        </w:rPr>
        <w:t>temps de 30 min par la route.</w:t>
      </w:r>
    </w:p>
    <w:p w:rsidR="004B6D38" w:rsidRDefault="004B6D38" w:rsidP="00BA4E1E"/>
    <w:p w:rsidR="00CE2291" w:rsidRDefault="00CE2291" w:rsidP="00BA4E1E"/>
    <w:p w:rsidR="00CE2291" w:rsidRPr="001F332C" w:rsidRDefault="00CE2291" w:rsidP="00BA4E1E"/>
    <w:p w:rsidR="00742087" w:rsidRPr="00C031D1" w:rsidRDefault="00E16B4E" w:rsidP="00293BE2">
      <w:pPr>
        <w:rPr>
          <w:i/>
          <w:color w:val="C00000"/>
        </w:rPr>
      </w:pPr>
      <w:r w:rsidRPr="00C031D1">
        <w:rPr>
          <w:i/>
          <w:color w:val="C00000"/>
        </w:rPr>
        <w:t>Aspects règlementaires</w:t>
      </w:r>
    </w:p>
    <w:p w:rsidR="00BA4E1E" w:rsidRDefault="00293BE2">
      <w:r w:rsidRPr="00BA4E1E">
        <w:rPr>
          <w:b/>
          <w:color w:val="1F4E79" w:themeColor="accent1" w:themeShade="80"/>
        </w:rPr>
        <w:t xml:space="preserve">- </w:t>
      </w:r>
      <w:r w:rsidR="00794444" w:rsidRPr="00BA4E1E">
        <w:rPr>
          <w:b/>
          <w:color w:val="1F4E79" w:themeColor="accent1" w:themeShade="80"/>
        </w:rPr>
        <w:t>E</w:t>
      </w:r>
      <w:r w:rsidR="00A044C2" w:rsidRPr="00BA4E1E">
        <w:rPr>
          <w:b/>
          <w:color w:val="1F4E79" w:themeColor="accent1" w:themeShade="80"/>
        </w:rPr>
        <w:t>n cas de prise en charge d’</w:t>
      </w:r>
      <w:r w:rsidRPr="00BA4E1E">
        <w:rPr>
          <w:b/>
          <w:color w:val="1F4E79" w:themeColor="accent1" w:themeShade="80"/>
        </w:rPr>
        <w:t xml:space="preserve">un patient </w:t>
      </w:r>
      <w:proofErr w:type="spellStart"/>
      <w:r w:rsidRPr="00BA4E1E">
        <w:rPr>
          <w:b/>
          <w:color w:val="1F4E79" w:themeColor="accent1" w:themeShade="80"/>
        </w:rPr>
        <w:t>oxygeno</w:t>
      </w:r>
      <w:r w:rsidR="00A044C2" w:rsidRPr="00BA4E1E">
        <w:rPr>
          <w:b/>
          <w:color w:val="1F4E79" w:themeColor="accent1" w:themeShade="80"/>
        </w:rPr>
        <w:t>-</w:t>
      </w:r>
      <w:r w:rsidRPr="00BA4E1E">
        <w:rPr>
          <w:b/>
          <w:color w:val="1F4E79" w:themeColor="accent1" w:themeShade="80"/>
        </w:rPr>
        <w:t>requerant</w:t>
      </w:r>
      <w:proofErr w:type="spellEnd"/>
      <w:r w:rsidRPr="00BA4E1E">
        <w:rPr>
          <w:b/>
          <w:color w:val="1F4E79" w:themeColor="accent1" w:themeShade="80"/>
        </w:rPr>
        <w:t xml:space="preserve"> </w:t>
      </w:r>
      <w:r w:rsidR="00BA4E1E" w:rsidRPr="00BA4E1E">
        <w:rPr>
          <w:b/>
          <w:color w:val="1F4E79" w:themeColor="accent1" w:themeShade="80"/>
        </w:rPr>
        <w:t>existe-t</w:t>
      </w:r>
      <w:r w:rsidR="00A044C2" w:rsidRPr="00BA4E1E">
        <w:rPr>
          <w:b/>
          <w:color w:val="1F4E79" w:themeColor="accent1" w:themeShade="80"/>
        </w:rPr>
        <w:t>-il</w:t>
      </w:r>
      <w:r w:rsidRPr="00BA4E1E">
        <w:rPr>
          <w:b/>
          <w:color w:val="1F4E79" w:themeColor="accent1" w:themeShade="80"/>
        </w:rPr>
        <w:t xml:space="preserve"> un modèle d</w:t>
      </w:r>
      <w:r w:rsidR="00A044C2" w:rsidRPr="00BA4E1E">
        <w:rPr>
          <w:b/>
          <w:color w:val="1F4E79" w:themeColor="accent1" w:themeShade="80"/>
        </w:rPr>
        <w:t>’</w:t>
      </w:r>
      <w:r w:rsidR="00BA4E1E">
        <w:rPr>
          <w:b/>
          <w:color w:val="1F4E79" w:themeColor="accent1" w:themeShade="80"/>
        </w:rPr>
        <w:t>ordonnance pour les IDE</w:t>
      </w:r>
      <w:r w:rsidRPr="00BA4E1E">
        <w:rPr>
          <w:b/>
          <w:color w:val="1F4E79" w:themeColor="accent1" w:themeShade="80"/>
        </w:rPr>
        <w:t> ?</w:t>
      </w:r>
      <w:r w:rsidR="001960B4" w:rsidRPr="00794444">
        <w:rPr>
          <w:color w:val="1F4E79" w:themeColor="accent1" w:themeShade="80"/>
        </w:rPr>
        <w:t xml:space="preserve"> </w:t>
      </w:r>
      <w:r w:rsidR="00A044C2">
        <w:t xml:space="preserve"> </w:t>
      </w:r>
    </w:p>
    <w:p w:rsidR="001F21EB" w:rsidRPr="001960B4" w:rsidRDefault="00BA4E1E" w:rsidP="00CE2291">
      <w:pPr>
        <w:ind w:left="708"/>
        <w:rPr>
          <w:b/>
          <w:color w:val="0070C0"/>
        </w:rPr>
      </w:pPr>
      <w:r>
        <w:t>L’ordonnance</w:t>
      </w:r>
      <w:r w:rsidR="00A044C2">
        <w:t xml:space="preserve"> de suivi IDE englobe les </w:t>
      </w:r>
      <w:r>
        <w:t>différentes</w:t>
      </w:r>
      <w:r w:rsidR="00A044C2">
        <w:t xml:space="preserve"> surveillance</w:t>
      </w:r>
      <w:r>
        <w:t>s (</w:t>
      </w:r>
      <w:r w:rsidR="00F41BD4">
        <w:t>T°</w:t>
      </w:r>
      <w:r w:rsidR="00A044C2">
        <w:t>, fonction respiratoire, fonction cardio vasculaire, état général</w:t>
      </w:r>
      <w:r w:rsidR="00CE2291">
        <w:t>)</w:t>
      </w:r>
      <w:r>
        <w:t>.</w:t>
      </w:r>
    </w:p>
    <w:p w:rsidR="00E16B4E" w:rsidRDefault="00E16B4E" w:rsidP="00E16B4E">
      <w:pPr>
        <w:rPr>
          <w:b/>
          <w:color w:val="1F4E79" w:themeColor="accent1" w:themeShade="80"/>
        </w:rPr>
      </w:pPr>
      <w:r w:rsidRPr="00BA4E1E">
        <w:rPr>
          <w:b/>
          <w:color w:val="1F4E79" w:themeColor="accent1" w:themeShade="80"/>
        </w:rPr>
        <w:t xml:space="preserve">-Pourra-t-on se </w:t>
      </w:r>
      <w:r w:rsidR="00BA4E1E" w:rsidRPr="00BA4E1E">
        <w:rPr>
          <w:b/>
          <w:color w:val="1F4E79" w:themeColor="accent1" w:themeShade="80"/>
        </w:rPr>
        <w:t>passer,</w:t>
      </w:r>
      <w:r w:rsidRPr="00BA4E1E">
        <w:rPr>
          <w:b/>
          <w:color w:val="1F4E79" w:themeColor="accent1" w:themeShade="80"/>
        </w:rPr>
        <w:t xml:space="preserve"> considérant la situation sanitaire, des demandes habituelles de prise en charge par la CPAM ?</w:t>
      </w:r>
      <w:r w:rsidR="009E013F" w:rsidRPr="00BA4E1E">
        <w:rPr>
          <w:b/>
          <w:color w:val="1F4E79" w:themeColor="accent1" w:themeShade="80"/>
        </w:rPr>
        <w:t xml:space="preserve"> </w:t>
      </w:r>
    </w:p>
    <w:p w:rsidR="009C11B7" w:rsidRPr="00A26D7C" w:rsidRDefault="009C11B7" w:rsidP="00CE2291">
      <w:pPr>
        <w:ind w:left="708"/>
        <w:jc w:val="both"/>
      </w:pPr>
      <w:r w:rsidRPr="00A26D7C">
        <w:t>Les dispositifs d’oxygénothérapie sont pris en charge par l’assurance maladie pour un mois, renouvelable 2 fois, avec prescription par tout médecin</w:t>
      </w:r>
      <w:r w:rsidR="00A26D7C" w:rsidRPr="00A26D7C">
        <w:t> </w:t>
      </w:r>
      <w:r w:rsidRPr="00A26D7C">
        <w:t>dans le cadre d’une oxygén</w:t>
      </w:r>
      <w:r w:rsidR="00A26D7C" w:rsidRPr="00A26D7C">
        <w:t>othérapie courte durée curative.</w:t>
      </w:r>
      <w:r w:rsidRPr="00A26D7C">
        <w:t xml:space="preserve"> La prescription se fait sur une ordonnance simple, sans demande d’entente préalable, Il faut préciser 1) le débit d’O2 nécessaire, 2) la durée sur 24 heures 3) l’interface, la durée de l</w:t>
      </w:r>
      <w:r w:rsidR="00A26D7C">
        <w:t>a prescription, généralement d’</w:t>
      </w:r>
      <w:r w:rsidRPr="00A26D7C">
        <w:t>un mois à renouveler 2 fois maximum.</w:t>
      </w:r>
    </w:p>
    <w:p w:rsidR="009C11B7" w:rsidRPr="00A26D7C" w:rsidRDefault="009C11B7" w:rsidP="00CE2291">
      <w:pPr>
        <w:ind w:left="708"/>
        <w:jc w:val="both"/>
      </w:pPr>
      <w:r w:rsidRPr="00A26D7C">
        <w:t>Le prestataire vous conseillera sur la meilleure source à envisager. L’accessibilité du domicile aussi rentrera en compte. La source devrait être notée sur la prescription</w:t>
      </w:r>
      <w:r w:rsidR="00A26D7C">
        <w:t>.</w:t>
      </w:r>
    </w:p>
    <w:p w:rsidR="00293BE2" w:rsidRPr="00794444" w:rsidRDefault="00293BE2" w:rsidP="00293BE2">
      <w:pPr>
        <w:rPr>
          <w:b/>
          <w:color w:val="1F4E79" w:themeColor="accent1" w:themeShade="80"/>
        </w:rPr>
      </w:pPr>
      <w:r w:rsidRPr="00794444">
        <w:rPr>
          <w:b/>
          <w:color w:val="1F4E79" w:themeColor="accent1" w:themeShade="80"/>
        </w:rPr>
        <w:t xml:space="preserve">-Qui fournit </w:t>
      </w:r>
      <w:proofErr w:type="spellStart"/>
      <w:r w:rsidRPr="00794444">
        <w:rPr>
          <w:b/>
          <w:color w:val="1F4E79" w:themeColor="accent1" w:themeShade="80"/>
        </w:rPr>
        <w:t>saturometre</w:t>
      </w:r>
      <w:proofErr w:type="spellEnd"/>
      <w:r w:rsidRPr="00794444">
        <w:rPr>
          <w:b/>
          <w:color w:val="1F4E79" w:themeColor="accent1" w:themeShade="80"/>
        </w:rPr>
        <w:t xml:space="preserve"> au patient ?</w:t>
      </w:r>
      <w:r w:rsidR="004B6D38">
        <w:rPr>
          <w:b/>
          <w:color w:val="1F4E79" w:themeColor="accent1" w:themeShade="80"/>
        </w:rPr>
        <w:t xml:space="preserve"> R</w:t>
      </w:r>
      <w:r w:rsidRPr="00794444">
        <w:rPr>
          <w:b/>
          <w:color w:val="1F4E79" w:themeColor="accent1" w:themeShade="80"/>
        </w:rPr>
        <w:t>emboursable ?</w:t>
      </w:r>
    </w:p>
    <w:p w:rsidR="00742087" w:rsidRDefault="00742087" w:rsidP="00CE2291">
      <w:pPr>
        <w:ind w:firstLine="708"/>
        <w:jc w:val="both"/>
      </w:pPr>
      <w:r>
        <w:t>C’est le presta</w:t>
      </w:r>
      <w:r w:rsidR="00BA4E1E">
        <w:t xml:space="preserve">taire qui fournit </w:t>
      </w:r>
      <w:r>
        <w:t xml:space="preserve">le </w:t>
      </w:r>
      <w:proofErr w:type="spellStart"/>
      <w:r>
        <w:t>saturomètre</w:t>
      </w:r>
      <w:proofErr w:type="spellEnd"/>
      <w:r>
        <w:t xml:space="preserve"> au patient dans l’indic</w:t>
      </w:r>
      <w:r w:rsidR="00BA4E1E">
        <w:t>ation d’oxygénothérapie</w:t>
      </w:r>
      <w:r>
        <w:t>.</w:t>
      </w:r>
    </w:p>
    <w:p w:rsidR="00E16B4E" w:rsidRPr="00C031D1" w:rsidRDefault="00E16B4E" w:rsidP="00293BE2">
      <w:pPr>
        <w:rPr>
          <w:i/>
          <w:color w:val="C00000"/>
        </w:rPr>
      </w:pPr>
      <w:r w:rsidRPr="00C031D1">
        <w:rPr>
          <w:i/>
          <w:color w:val="C00000"/>
        </w:rPr>
        <w:t>Aspects médicaux</w:t>
      </w:r>
    </w:p>
    <w:p w:rsidR="00E16B4E" w:rsidRDefault="00E16B4E" w:rsidP="00E16B4E">
      <w:pPr>
        <w:rPr>
          <w:b/>
          <w:color w:val="1F4E79" w:themeColor="accent1" w:themeShade="80"/>
        </w:rPr>
      </w:pPr>
      <w:r w:rsidRPr="00E16B4E">
        <w:rPr>
          <w:b/>
          <w:color w:val="1F4E79" w:themeColor="accent1" w:themeShade="80"/>
        </w:rPr>
        <w:t xml:space="preserve">- </w:t>
      </w:r>
      <w:r>
        <w:rPr>
          <w:b/>
          <w:color w:val="1F4E79" w:themeColor="accent1" w:themeShade="80"/>
        </w:rPr>
        <w:t>Faut-il prescrire</w:t>
      </w:r>
      <w:r w:rsidRPr="00E16B4E">
        <w:rPr>
          <w:b/>
          <w:color w:val="1F4E79" w:themeColor="accent1" w:themeShade="80"/>
        </w:rPr>
        <w:t xml:space="preserve"> sys</w:t>
      </w:r>
      <w:r w:rsidR="00BA4E1E">
        <w:rPr>
          <w:b/>
          <w:color w:val="1F4E79" w:themeColor="accent1" w:themeShade="80"/>
        </w:rPr>
        <w:t>tématiquement pour le patient O2</w:t>
      </w:r>
      <w:r w:rsidRPr="00E16B4E">
        <w:rPr>
          <w:b/>
          <w:color w:val="1F4E79" w:themeColor="accent1" w:themeShade="80"/>
        </w:rPr>
        <w:t xml:space="preserve"> </w:t>
      </w:r>
      <w:r w:rsidR="00BA4E1E" w:rsidRPr="00E16B4E">
        <w:rPr>
          <w:b/>
          <w:color w:val="1F4E79" w:themeColor="accent1" w:themeShade="80"/>
        </w:rPr>
        <w:t>requérant</w:t>
      </w:r>
      <w:r w:rsidRPr="00E16B4E">
        <w:rPr>
          <w:b/>
          <w:color w:val="1F4E79" w:themeColor="accent1" w:themeShade="80"/>
        </w:rPr>
        <w:t xml:space="preserve"> le c</w:t>
      </w:r>
      <w:r w:rsidR="00BA4E1E">
        <w:rPr>
          <w:b/>
          <w:color w:val="1F4E79" w:themeColor="accent1" w:themeShade="80"/>
        </w:rPr>
        <w:t>oncentrateur et une bouteille d’O2 de</w:t>
      </w:r>
      <w:r w:rsidRPr="00E16B4E">
        <w:rPr>
          <w:b/>
          <w:color w:val="1F4E79" w:themeColor="accent1" w:themeShade="80"/>
        </w:rPr>
        <w:t xml:space="preserve"> 5L ? </w:t>
      </w:r>
    </w:p>
    <w:p w:rsidR="00E16B4E" w:rsidRPr="00E16B4E" w:rsidRDefault="00E16B4E" w:rsidP="00CE2291">
      <w:pPr>
        <w:ind w:left="708"/>
        <w:jc w:val="both"/>
      </w:pPr>
      <w:r w:rsidRPr="00E16B4E">
        <w:rPr>
          <w:b/>
        </w:rPr>
        <w:t>Oui</w:t>
      </w:r>
      <w:r w:rsidRPr="00E16B4E">
        <w:t xml:space="preserve"> car le concentrateur dépend de l’électricité donc une bouteille est nécessaire en cas de coupure de courant par exemple.</w:t>
      </w:r>
    </w:p>
    <w:p w:rsidR="00742087" w:rsidRPr="00794444" w:rsidRDefault="00293BE2" w:rsidP="00293BE2">
      <w:pPr>
        <w:rPr>
          <w:color w:val="1F4E79" w:themeColor="accent1" w:themeShade="80"/>
        </w:rPr>
      </w:pPr>
      <w:r w:rsidRPr="00794444">
        <w:rPr>
          <w:b/>
          <w:color w:val="1F4E79" w:themeColor="accent1" w:themeShade="80"/>
        </w:rPr>
        <w:t xml:space="preserve">- </w:t>
      </w:r>
      <w:r w:rsidR="00794444" w:rsidRPr="00794444">
        <w:rPr>
          <w:b/>
          <w:color w:val="1F4E79" w:themeColor="accent1" w:themeShade="80"/>
        </w:rPr>
        <w:t xml:space="preserve">Y </w:t>
      </w:r>
      <w:proofErr w:type="spellStart"/>
      <w:r w:rsidR="00794444" w:rsidRPr="00794444">
        <w:rPr>
          <w:b/>
          <w:color w:val="1F4E79" w:themeColor="accent1" w:themeShade="80"/>
        </w:rPr>
        <w:t>a-t-il</w:t>
      </w:r>
      <w:proofErr w:type="spellEnd"/>
      <w:r w:rsidR="00794444" w:rsidRPr="00794444">
        <w:rPr>
          <w:b/>
          <w:color w:val="1F4E79" w:themeColor="accent1" w:themeShade="80"/>
        </w:rPr>
        <w:t xml:space="preserve"> un problème à l’utilisation du</w:t>
      </w:r>
      <w:r w:rsidR="00F41BD4">
        <w:rPr>
          <w:b/>
          <w:color w:val="1F4E79" w:themeColor="accent1" w:themeShade="80"/>
        </w:rPr>
        <w:t xml:space="preserve"> </w:t>
      </w:r>
      <w:proofErr w:type="spellStart"/>
      <w:r w:rsidR="00F41BD4">
        <w:rPr>
          <w:b/>
          <w:color w:val="1F4E79" w:themeColor="accent1" w:themeShade="80"/>
        </w:rPr>
        <w:t>saturomè</w:t>
      </w:r>
      <w:r w:rsidRPr="00794444">
        <w:rPr>
          <w:b/>
          <w:color w:val="1F4E79" w:themeColor="accent1" w:themeShade="80"/>
        </w:rPr>
        <w:t>tre</w:t>
      </w:r>
      <w:proofErr w:type="spellEnd"/>
      <w:r w:rsidRPr="00794444">
        <w:rPr>
          <w:b/>
          <w:color w:val="1F4E79" w:themeColor="accent1" w:themeShade="80"/>
        </w:rPr>
        <w:t xml:space="preserve"> chez les patients avec </w:t>
      </w:r>
      <w:r w:rsidR="00BA4E1E" w:rsidRPr="00794444">
        <w:rPr>
          <w:b/>
          <w:color w:val="1F4E79" w:themeColor="accent1" w:themeShade="80"/>
        </w:rPr>
        <w:t>anémie</w:t>
      </w:r>
      <w:r w:rsidRPr="00794444">
        <w:rPr>
          <w:b/>
          <w:color w:val="1F4E79" w:themeColor="accent1" w:themeShade="80"/>
        </w:rPr>
        <w:t xml:space="preserve"> imp</w:t>
      </w:r>
      <w:r w:rsidR="00BA4E1E">
        <w:rPr>
          <w:b/>
          <w:color w:val="1F4E79" w:themeColor="accent1" w:themeShade="80"/>
        </w:rPr>
        <w:t xml:space="preserve">ortante ou </w:t>
      </w:r>
      <w:r w:rsidR="00742087" w:rsidRPr="00794444">
        <w:rPr>
          <w:b/>
          <w:color w:val="1F4E79" w:themeColor="accent1" w:themeShade="80"/>
        </w:rPr>
        <w:t>en cas d’ACFA ?</w:t>
      </w:r>
    </w:p>
    <w:p w:rsidR="00293BE2" w:rsidRDefault="00DA2F3B" w:rsidP="00CE2291">
      <w:pPr>
        <w:ind w:left="567"/>
        <w:jc w:val="both"/>
      </w:pPr>
      <w:r>
        <w:t xml:space="preserve">- </w:t>
      </w:r>
      <w:r w:rsidR="00742087">
        <w:t>L’a</w:t>
      </w:r>
      <w:r w:rsidR="00293BE2">
        <w:t xml:space="preserve">némie n’influe pas sur </w:t>
      </w:r>
      <w:r w:rsidR="00794444">
        <w:t xml:space="preserve">la </w:t>
      </w:r>
      <w:r w:rsidR="00293BE2">
        <w:t xml:space="preserve">saturation artérielle, </w:t>
      </w:r>
      <w:r w:rsidR="00742087">
        <w:t xml:space="preserve">la </w:t>
      </w:r>
      <w:r w:rsidR="00293BE2">
        <w:t xml:space="preserve">mesure reste </w:t>
      </w:r>
      <w:r w:rsidR="00742087">
        <w:t xml:space="preserve">donc </w:t>
      </w:r>
      <w:r w:rsidR="00293BE2">
        <w:t>valide</w:t>
      </w:r>
      <w:r w:rsidR="00742087">
        <w:t xml:space="preserve"> même en cas d’anémie</w:t>
      </w:r>
      <w:r>
        <w:t xml:space="preserve"> </w:t>
      </w:r>
      <w:r w:rsidR="00794444">
        <w:t>(</w:t>
      </w:r>
      <w:r w:rsidRPr="00DA2F3B">
        <w:t>si la concentration en hémoglobine diminue, la SpO2 ne change pas</w:t>
      </w:r>
      <w:r w:rsidR="00794444">
        <w:t>)</w:t>
      </w:r>
      <w:r w:rsidRPr="00DA2F3B">
        <w:t xml:space="preserve">. </w:t>
      </w:r>
      <w:r>
        <w:t>A contrario la mesure de la Sp02 ne permettra pas de détecter un moindre transport de l’</w:t>
      </w:r>
      <w:r w:rsidR="00BA4E1E">
        <w:t>oxygène</w:t>
      </w:r>
      <w:r>
        <w:t xml:space="preserve"> lié à l’anémie. </w:t>
      </w:r>
      <w:r w:rsidRPr="00DA2F3B">
        <w:t>En caricaturant, on peut dire que s’il n’y a plus que dix globules rouges bien oxygénés dans l’organisme (et qu’ils ont la bonne volonté de passer devant le capteur), l’oxymètre de pouls affichera " 100 % "</w:t>
      </w:r>
      <w:r w:rsidR="00BA4E1E">
        <w:t>, alors que l’état du patient est très dégradé</w:t>
      </w:r>
      <w:r w:rsidRPr="00DA2F3B">
        <w:t>.</w:t>
      </w:r>
    </w:p>
    <w:p w:rsidR="00794444" w:rsidRPr="00794444" w:rsidRDefault="00794444" w:rsidP="00CE2291">
      <w:pPr>
        <w:ind w:left="567"/>
        <w:jc w:val="both"/>
        <w:rPr>
          <w:b/>
        </w:rPr>
      </w:pPr>
      <w:r w:rsidRPr="00794444">
        <w:rPr>
          <w:b/>
        </w:rPr>
        <w:lastRenderedPageBreak/>
        <w:t>=&gt; au total, on peut détecter une hypoxémie même en cas d’anémie mais on ne peut pas détecter une anémie sévère sans hypoxémie</w:t>
      </w:r>
    </w:p>
    <w:p w:rsidR="00DA2F3B" w:rsidRDefault="00DA2F3B" w:rsidP="00CE2291">
      <w:pPr>
        <w:ind w:left="567"/>
        <w:jc w:val="both"/>
      </w:pPr>
      <w:r>
        <w:t xml:space="preserve">- </w:t>
      </w:r>
      <w:r w:rsidRPr="00794444">
        <w:rPr>
          <w:b/>
        </w:rPr>
        <w:t xml:space="preserve">en cas de troubles du rythme, si celui-ci n’est </w:t>
      </w:r>
      <w:r w:rsidR="0091214D">
        <w:rPr>
          <w:b/>
        </w:rPr>
        <w:t>PAS</w:t>
      </w:r>
      <w:r w:rsidRPr="00794444">
        <w:rPr>
          <w:b/>
        </w:rPr>
        <w:t xml:space="preserve"> accompagné d’une hypotension /bas débit</w:t>
      </w:r>
      <w:r w:rsidR="0091214D">
        <w:rPr>
          <w:b/>
        </w:rPr>
        <w:t>/ t</w:t>
      </w:r>
      <w:r w:rsidR="0091214D" w:rsidRPr="0091214D">
        <w:rPr>
          <w:b/>
        </w:rPr>
        <w:t>rouble des vascularisations périphériques</w:t>
      </w:r>
      <w:r w:rsidR="0091214D">
        <w:rPr>
          <w:b/>
        </w:rPr>
        <w:t xml:space="preserve"> (= critères de gravité)</w:t>
      </w:r>
      <w:r w:rsidRPr="00794444">
        <w:rPr>
          <w:b/>
        </w:rPr>
        <w:t xml:space="preserve">, la valeur du </w:t>
      </w:r>
      <w:proofErr w:type="spellStart"/>
      <w:r w:rsidRPr="00794444">
        <w:rPr>
          <w:b/>
        </w:rPr>
        <w:t>saturomètre</w:t>
      </w:r>
      <w:proofErr w:type="spellEnd"/>
      <w:r w:rsidRPr="00794444">
        <w:rPr>
          <w:b/>
        </w:rPr>
        <w:t xml:space="preserve"> est </w:t>
      </w:r>
      <w:r w:rsidR="00BA4E1E" w:rsidRPr="00794444">
        <w:rPr>
          <w:b/>
        </w:rPr>
        <w:t>fiable</w:t>
      </w:r>
      <w:r w:rsidR="00BA4E1E">
        <w:t>.</w:t>
      </w:r>
      <w:r w:rsidR="0091214D">
        <w:t xml:space="preserve"> S</w:t>
      </w:r>
      <w:r w:rsidR="0091214D" w:rsidRPr="0091214D">
        <w:t>eule la fréquence cardiaque enregistrée via la courbe de SPO2 doit être relativisée du fait de l’arythmie</w:t>
      </w:r>
      <w:r w:rsidR="0091214D">
        <w:t>.</w:t>
      </w:r>
    </w:p>
    <w:p w:rsidR="00794444" w:rsidRDefault="00794444" w:rsidP="00CE2291">
      <w:pPr>
        <w:ind w:left="567"/>
        <w:jc w:val="both"/>
      </w:pPr>
      <w:r>
        <w:t xml:space="preserve">Les limites de la mesure de la Sp02 sont les suivantes : </w:t>
      </w:r>
    </w:p>
    <w:p w:rsidR="00DA2F3B" w:rsidRPr="00794444" w:rsidRDefault="00794444" w:rsidP="00D22597">
      <w:pPr>
        <w:ind w:left="567"/>
        <w:rPr>
          <w:b/>
          <w:u w:val="single"/>
        </w:rPr>
      </w:pPr>
      <w:r w:rsidRPr="00794444">
        <w:rPr>
          <w:b/>
          <w:u w:val="single"/>
        </w:rPr>
        <w:t>1)</w:t>
      </w:r>
      <w:r w:rsidR="00DA2F3B" w:rsidRPr="00794444">
        <w:rPr>
          <w:b/>
          <w:u w:val="single"/>
        </w:rPr>
        <w:t xml:space="preserve"> Limites liées à la nécessité de percevoir un signal pulsatile</w:t>
      </w:r>
    </w:p>
    <w:p w:rsidR="00DA2F3B" w:rsidRPr="00794444" w:rsidRDefault="00DA2F3B" w:rsidP="00CE2291">
      <w:pPr>
        <w:ind w:left="567"/>
        <w:jc w:val="both"/>
        <w:rPr>
          <w:b/>
          <w:color w:val="C00000"/>
        </w:rPr>
      </w:pPr>
      <w:r>
        <w:t xml:space="preserve">L’oxymètre de pouls ne fonctionne pas en cas d’arrêt circulatoire ou de patient sous circulation </w:t>
      </w:r>
      <w:proofErr w:type="spellStart"/>
      <w:r>
        <w:t>extra-corporelle</w:t>
      </w:r>
      <w:proofErr w:type="spellEnd"/>
      <w:r>
        <w:t xml:space="preserve"> (CEC : débit continu, pas de débit pulsatile). Il </w:t>
      </w:r>
      <w:r w:rsidRPr="00794444">
        <w:rPr>
          <w:b/>
        </w:rPr>
        <w:t>fonctionne mal ou p</w:t>
      </w:r>
      <w:r w:rsidR="00201183">
        <w:rPr>
          <w:b/>
        </w:rPr>
        <w:t>as du tout dans les situations suivantes</w:t>
      </w:r>
      <w:r>
        <w:t>: hypotension artérielle, bas débit sanguin, vasoconstriction (hypothermie, utilisation de vasoconstricteurs</w:t>
      </w:r>
      <w:r w:rsidRPr="00794444">
        <w:rPr>
          <w:b/>
        </w:rPr>
        <w:t>). Si on place un brassard à pression artérielle sur le même bras que le capteur, l’oxymètre de pouls ne fonctionne pas pendant la mesure.</w:t>
      </w:r>
      <w:r w:rsidR="00794444">
        <w:rPr>
          <w:b/>
        </w:rPr>
        <w:t xml:space="preserve"> </w:t>
      </w:r>
      <w:r>
        <w:t xml:space="preserve">Le signal est parasité par les mouvements du patient. </w:t>
      </w:r>
      <w:r w:rsidRPr="00794444">
        <w:rPr>
          <w:b/>
          <w:color w:val="C00000"/>
        </w:rPr>
        <w:t>La saturation donnée par l’oxymètre de pouls n’a aucune valeur si la courbe du signal est mauvaise.</w:t>
      </w:r>
    </w:p>
    <w:p w:rsidR="00A26D7C" w:rsidRDefault="00DA2F3B" w:rsidP="00CE2291">
      <w:pPr>
        <w:ind w:left="567"/>
        <w:jc w:val="both"/>
      </w:pPr>
      <w:r>
        <w:t>C’est donc bien souvent dans les situations les plus critiques que l’appareil ne donne aucun résultat.</w:t>
      </w:r>
    </w:p>
    <w:p w:rsidR="00DA2F3B" w:rsidRPr="00794444" w:rsidRDefault="00794444" w:rsidP="00D22597">
      <w:pPr>
        <w:ind w:left="567"/>
        <w:rPr>
          <w:b/>
          <w:u w:val="single"/>
        </w:rPr>
      </w:pPr>
      <w:r w:rsidRPr="00794444">
        <w:rPr>
          <w:b/>
          <w:u w:val="single"/>
        </w:rPr>
        <w:t>2)</w:t>
      </w:r>
      <w:r w:rsidR="00DA2F3B" w:rsidRPr="00794444">
        <w:rPr>
          <w:b/>
          <w:u w:val="single"/>
        </w:rPr>
        <w:t xml:space="preserve"> Utilisation de colorants</w:t>
      </w:r>
    </w:p>
    <w:p w:rsidR="00DA2F3B" w:rsidRDefault="00DA2F3B" w:rsidP="00CE2291">
      <w:pPr>
        <w:ind w:left="567"/>
        <w:jc w:val="both"/>
      </w:pPr>
      <w:r>
        <w:t xml:space="preserve">L’injection de bleu de méthylène ou de carmin indigo abaissent faussement la valeur donnée par l’oxymètre de pouls de façon temporaire. </w:t>
      </w:r>
      <w:r w:rsidRPr="00794444">
        <w:rPr>
          <w:b/>
        </w:rPr>
        <w:t>Le vernis à ongle et les néons puissants</w:t>
      </w:r>
      <w:r>
        <w:t xml:space="preserve"> peuvent fausser la mesure.</w:t>
      </w:r>
    </w:p>
    <w:p w:rsidR="00DA2F3B" w:rsidRDefault="00DA2F3B" w:rsidP="00CE2291">
      <w:pPr>
        <w:ind w:left="567"/>
        <w:jc w:val="both"/>
      </w:pPr>
      <w:r>
        <w:t>L’</w:t>
      </w:r>
      <w:proofErr w:type="spellStart"/>
      <w:r>
        <w:t>hyperbilirubinémie</w:t>
      </w:r>
      <w:proofErr w:type="spellEnd"/>
      <w:r>
        <w:t xml:space="preserve"> en revanche est sans effet sur la mesure de la SpO2.</w:t>
      </w:r>
    </w:p>
    <w:p w:rsidR="00DA2F3B" w:rsidRPr="00794444" w:rsidRDefault="00794444" w:rsidP="00CE2291">
      <w:pPr>
        <w:ind w:left="567"/>
        <w:jc w:val="both"/>
        <w:rPr>
          <w:b/>
          <w:u w:val="single"/>
        </w:rPr>
      </w:pPr>
      <w:r w:rsidRPr="00794444">
        <w:rPr>
          <w:b/>
          <w:u w:val="single"/>
        </w:rPr>
        <w:t>3)</w:t>
      </w:r>
      <w:r w:rsidR="00DA2F3B" w:rsidRPr="00794444">
        <w:rPr>
          <w:b/>
          <w:u w:val="single"/>
        </w:rPr>
        <w:t xml:space="preserve"> Présence d’une hémoglobine anormale</w:t>
      </w:r>
    </w:p>
    <w:p w:rsidR="00DA2F3B" w:rsidRDefault="00DA2F3B" w:rsidP="00CE2291">
      <w:pPr>
        <w:ind w:left="567"/>
        <w:jc w:val="both"/>
        <w:rPr>
          <w:b/>
        </w:rPr>
      </w:pPr>
      <w:r w:rsidRPr="00794444">
        <w:rPr>
          <w:b/>
        </w:rPr>
        <w:t>En cas d’intoxication par le monoxyde de carbone (CO),</w:t>
      </w:r>
      <w:r>
        <w:t xml:space="preserve"> l’oxymètre de pouls ne fait pas la différence entre l’hémoglobine combinée à l’oxygène (HbO2) et celle combinée au CO (</w:t>
      </w:r>
      <w:proofErr w:type="spellStart"/>
      <w:r>
        <w:t>HbCO</w:t>
      </w:r>
      <w:proofErr w:type="spellEnd"/>
      <w:r>
        <w:t xml:space="preserve">). </w:t>
      </w:r>
      <w:r w:rsidRPr="00794444">
        <w:rPr>
          <w:b/>
        </w:rPr>
        <w:t>La saturation lue sur l’oxymètre de pouls est faussement élevée.</w:t>
      </w:r>
    </w:p>
    <w:p w:rsidR="0091214D" w:rsidRDefault="0091214D" w:rsidP="00CE2291">
      <w:pPr>
        <w:ind w:left="567"/>
        <w:jc w:val="both"/>
      </w:pPr>
      <w:r>
        <w:t xml:space="preserve">Nb : En cas de difficulté de placement du </w:t>
      </w:r>
      <w:proofErr w:type="spellStart"/>
      <w:r>
        <w:t>saturomètre</w:t>
      </w:r>
      <w:proofErr w:type="spellEnd"/>
      <w:r>
        <w:t xml:space="preserve"> au niveau des doigts, on e</w:t>
      </w:r>
      <w:r w:rsidR="00201183">
        <w:t xml:space="preserve">ffectue </w:t>
      </w:r>
      <w:r>
        <w:t>la mesure à partir du lobe de l’oreille</w:t>
      </w:r>
    </w:p>
    <w:p w:rsidR="00293BE2" w:rsidRDefault="00794444" w:rsidP="00D22597">
      <w:pPr>
        <w:ind w:left="567"/>
        <w:rPr>
          <w:rStyle w:val="Lienhypertexte"/>
        </w:rPr>
      </w:pPr>
      <w:r>
        <w:t xml:space="preserve">Pour en savoir plus : </w:t>
      </w:r>
      <w:hyperlink r:id="rId9" w:anchor="t4-Limites-de-la-mesure" w:history="1">
        <w:r w:rsidRPr="00A33AFC">
          <w:rPr>
            <w:rStyle w:val="Lienhypertexte"/>
          </w:rPr>
          <w:t>https://urgences-serveur.fr/oxymetre-de-pouls-principes,2178.html#t4-Limites-de-la-mesure</w:t>
        </w:r>
      </w:hyperlink>
    </w:p>
    <w:p w:rsidR="00CE2291" w:rsidRDefault="00CE2291" w:rsidP="00D22597">
      <w:pPr>
        <w:ind w:left="567"/>
        <w:rPr>
          <w:rStyle w:val="Lienhypertexte"/>
        </w:rPr>
      </w:pPr>
    </w:p>
    <w:p w:rsidR="00CE2291" w:rsidRDefault="00CE2291" w:rsidP="00D22597">
      <w:pPr>
        <w:ind w:left="567"/>
      </w:pPr>
    </w:p>
    <w:p w:rsidR="00CE2291" w:rsidRDefault="00CE2291" w:rsidP="00D22597">
      <w:pPr>
        <w:ind w:left="567"/>
      </w:pPr>
    </w:p>
    <w:p w:rsidR="00CE2291" w:rsidRDefault="00CE2291" w:rsidP="00D22597">
      <w:pPr>
        <w:ind w:left="567"/>
      </w:pPr>
    </w:p>
    <w:p w:rsidR="00CE2291" w:rsidRDefault="00CE2291" w:rsidP="00D22597">
      <w:pPr>
        <w:ind w:left="567"/>
      </w:pPr>
    </w:p>
    <w:p w:rsidR="00CE2291" w:rsidRDefault="00CE2291" w:rsidP="00D22597">
      <w:pPr>
        <w:ind w:left="567"/>
      </w:pPr>
    </w:p>
    <w:p w:rsidR="00CE2291" w:rsidRDefault="00CE2291" w:rsidP="00892BAA"/>
    <w:p w:rsidR="00CE2291" w:rsidRDefault="00CE2291" w:rsidP="00D22597">
      <w:pPr>
        <w:ind w:left="567"/>
      </w:pPr>
    </w:p>
    <w:p w:rsidR="00CE2291" w:rsidRPr="00E16B4E" w:rsidRDefault="00CE2291" w:rsidP="00D22597">
      <w:pPr>
        <w:ind w:left="567"/>
      </w:pPr>
    </w:p>
    <w:p w:rsidR="00CE2291" w:rsidRDefault="00CE2291" w:rsidP="00CE2291">
      <w:pPr>
        <w:rPr>
          <w:b/>
          <w:color w:val="1F4E79" w:themeColor="accent1" w:themeShade="80"/>
        </w:rPr>
      </w:pPr>
      <w:r>
        <w:rPr>
          <w:noProof/>
          <w:lang w:eastAsia="fr-FR"/>
        </w:rPr>
        <w:drawing>
          <wp:anchor distT="0" distB="0" distL="114300" distR="114300" simplePos="0" relativeHeight="251658240" behindDoc="1" locked="0" layoutInCell="1" allowOverlap="1" wp14:anchorId="6B8916DC" wp14:editId="44E059A7">
            <wp:simplePos x="0" y="0"/>
            <wp:positionH relativeFrom="margin">
              <wp:align>right</wp:align>
            </wp:positionH>
            <wp:positionV relativeFrom="margin">
              <wp:posOffset>1440798</wp:posOffset>
            </wp:positionV>
            <wp:extent cx="5524500" cy="1336040"/>
            <wp:effectExtent l="0" t="0" r="0" b="0"/>
            <wp:wrapTight wrapText="bothSides">
              <wp:wrapPolygon edited="0">
                <wp:start x="0" y="0"/>
                <wp:lineTo x="0" y="21251"/>
                <wp:lineTo x="21526" y="21251"/>
                <wp:lineTo x="21526"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9762" t="59694" r="29232" b="22662"/>
                    <a:stretch/>
                  </pic:blipFill>
                  <pic:spPr bwMode="auto">
                    <a:xfrm>
                      <a:off x="0" y="0"/>
                      <a:ext cx="5524500" cy="1336040"/>
                    </a:xfrm>
                    <a:prstGeom prst="rect">
                      <a:avLst/>
                    </a:prstGeom>
                    <a:ln>
                      <a:noFill/>
                    </a:ln>
                    <a:extLst>
                      <a:ext uri="{53640926-AAD7-44D8-BBD7-CCE9431645EC}">
                        <a14:shadowObscured xmlns:a14="http://schemas.microsoft.com/office/drawing/2010/main"/>
                      </a:ext>
                    </a:extLst>
                  </pic:spPr>
                </pic:pic>
              </a:graphicData>
            </a:graphic>
          </wp:anchor>
        </w:drawing>
      </w:r>
      <w:r w:rsidR="00293BE2" w:rsidRPr="00E16B4E">
        <w:rPr>
          <w:b/>
          <w:color w:val="1F4E79" w:themeColor="accent1" w:themeShade="80"/>
        </w:rPr>
        <w:t>-</w:t>
      </w:r>
      <w:r w:rsidR="00E16B4E" w:rsidRPr="00E16B4E">
        <w:rPr>
          <w:b/>
          <w:color w:val="1F4E79" w:themeColor="accent1" w:themeShade="80"/>
        </w:rPr>
        <w:t>Quand utiliser d</w:t>
      </w:r>
      <w:r w:rsidR="00293BE2" w:rsidRPr="00E16B4E">
        <w:rPr>
          <w:b/>
          <w:color w:val="1F4E79" w:themeColor="accent1" w:themeShade="80"/>
        </w:rPr>
        <w:t>es lunettes v</w:t>
      </w:r>
      <w:r w:rsidR="00201183">
        <w:rPr>
          <w:b/>
          <w:color w:val="1F4E79" w:themeColor="accent1" w:themeShade="80"/>
        </w:rPr>
        <w:t xml:space="preserve">ersus </w:t>
      </w:r>
      <w:r w:rsidR="00E16B4E" w:rsidRPr="00E16B4E">
        <w:rPr>
          <w:b/>
          <w:color w:val="1F4E79" w:themeColor="accent1" w:themeShade="80"/>
        </w:rPr>
        <w:t xml:space="preserve">un </w:t>
      </w:r>
      <w:r w:rsidR="00293BE2" w:rsidRPr="00E16B4E">
        <w:rPr>
          <w:b/>
          <w:color w:val="1F4E79" w:themeColor="accent1" w:themeShade="80"/>
        </w:rPr>
        <w:t>masque haute concentration ?</w:t>
      </w:r>
    </w:p>
    <w:p w:rsidR="00E16B4E" w:rsidRPr="00CE2291" w:rsidRDefault="00E16B4E" w:rsidP="00CE2291">
      <w:pPr>
        <w:rPr>
          <w:b/>
          <w:color w:val="1F4E79" w:themeColor="accent1" w:themeShade="80"/>
        </w:rPr>
      </w:pPr>
      <w:r w:rsidRPr="00C031D1">
        <w:t>Les différentes interfaces possibles</w:t>
      </w:r>
      <w:r w:rsidR="00C031D1">
        <w:t xml:space="preserve"> pour délivrer de l’02 </w:t>
      </w:r>
      <w:r w:rsidRPr="00C031D1">
        <w:t>sont les suivantes :</w:t>
      </w:r>
    </w:p>
    <w:p w:rsidR="00E16B4E" w:rsidRDefault="00E16B4E" w:rsidP="00CE2291">
      <w:pPr>
        <w:jc w:val="center"/>
        <w:rPr>
          <w:b/>
          <w:color w:val="C00000"/>
        </w:rPr>
      </w:pPr>
      <w:r>
        <w:rPr>
          <w:noProof/>
          <w:lang w:eastAsia="fr-FR"/>
        </w:rPr>
        <w:drawing>
          <wp:inline distT="0" distB="0" distL="0" distR="0" wp14:anchorId="1540D199" wp14:editId="1736A710">
            <wp:extent cx="5346356" cy="3305620"/>
            <wp:effectExtent l="0" t="0" r="698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8108" t="32936" r="26961" b="17650"/>
                    <a:stretch/>
                  </pic:blipFill>
                  <pic:spPr bwMode="auto">
                    <a:xfrm>
                      <a:off x="0" y="0"/>
                      <a:ext cx="5384385" cy="3329133"/>
                    </a:xfrm>
                    <a:prstGeom prst="rect">
                      <a:avLst/>
                    </a:prstGeom>
                    <a:ln>
                      <a:noFill/>
                    </a:ln>
                    <a:extLst>
                      <a:ext uri="{53640926-AAD7-44D8-BBD7-CCE9431645EC}">
                        <a14:shadowObscured xmlns:a14="http://schemas.microsoft.com/office/drawing/2010/main"/>
                      </a:ext>
                    </a:extLst>
                  </pic:spPr>
                </pic:pic>
              </a:graphicData>
            </a:graphic>
          </wp:inline>
        </w:drawing>
      </w:r>
    </w:p>
    <w:p w:rsidR="00C031D1" w:rsidRDefault="00C031D1" w:rsidP="00D22597">
      <w:pPr>
        <w:spacing w:line="360" w:lineRule="auto"/>
        <w:ind w:left="567"/>
        <w:jc w:val="both"/>
        <w:rPr>
          <w:rFonts w:eastAsiaTheme="majorEastAsia"/>
          <w:color w:val="000000" w:themeColor="text1"/>
          <w:kern w:val="24"/>
        </w:rPr>
      </w:pPr>
      <w:r w:rsidRPr="00C031D1">
        <w:rPr>
          <w:rFonts w:eastAsiaTheme="majorEastAsia"/>
          <w:b/>
          <w:color w:val="000000" w:themeColor="text1"/>
          <w:kern w:val="24"/>
        </w:rPr>
        <w:t>La sonde à O2</w:t>
      </w:r>
      <w:r w:rsidRPr="00294C1A">
        <w:rPr>
          <w:rFonts w:eastAsiaTheme="majorEastAsia"/>
          <w:color w:val="000000" w:themeColor="text1"/>
          <w:kern w:val="24"/>
        </w:rPr>
        <w:t xml:space="preserve"> qui n’est pas présentée en images ne doit pas être oubliée de l’arsenal des interfaces. Elle permet souvent d’obtenir de meilleurs débits d’O2 et elle pourra être utile en cas de rupture de stock des autres interfaces</w:t>
      </w:r>
      <w:r>
        <w:rPr>
          <w:rFonts w:eastAsiaTheme="majorEastAsia"/>
          <w:color w:val="000000" w:themeColor="text1"/>
          <w:kern w:val="24"/>
        </w:rPr>
        <w:t xml:space="preserve"> (souvent moins bien tolérée que les aut</w:t>
      </w:r>
      <w:r w:rsidR="00CE2291">
        <w:rPr>
          <w:rFonts w:eastAsiaTheme="majorEastAsia"/>
          <w:color w:val="000000" w:themeColor="text1"/>
          <w:kern w:val="24"/>
        </w:rPr>
        <w:t>res interfaces)</w:t>
      </w:r>
      <w:r>
        <w:rPr>
          <w:rFonts w:eastAsiaTheme="majorEastAsia"/>
          <w:color w:val="000000" w:themeColor="text1"/>
          <w:kern w:val="24"/>
        </w:rPr>
        <w:t>.</w:t>
      </w:r>
    </w:p>
    <w:p w:rsidR="00892BAA" w:rsidRDefault="00892BAA" w:rsidP="00D22597">
      <w:pPr>
        <w:spacing w:line="360" w:lineRule="auto"/>
        <w:ind w:left="567"/>
        <w:jc w:val="both"/>
        <w:rPr>
          <w:rFonts w:eastAsiaTheme="majorEastAsia"/>
          <w:color w:val="000000" w:themeColor="text1"/>
          <w:kern w:val="24"/>
        </w:rPr>
      </w:pPr>
    </w:p>
    <w:p w:rsidR="00892BAA" w:rsidRDefault="00892BAA" w:rsidP="00D22597">
      <w:pPr>
        <w:spacing w:line="360" w:lineRule="auto"/>
        <w:ind w:left="567"/>
        <w:jc w:val="both"/>
        <w:rPr>
          <w:rFonts w:eastAsiaTheme="majorEastAsia"/>
          <w:color w:val="000000" w:themeColor="text1"/>
          <w:kern w:val="24"/>
        </w:rPr>
      </w:pPr>
    </w:p>
    <w:p w:rsidR="00892BAA" w:rsidRPr="00294C1A" w:rsidRDefault="00892BAA" w:rsidP="00D22597">
      <w:pPr>
        <w:spacing w:line="360" w:lineRule="auto"/>
        <w:ind w:left="567"/>
        <w:jc w:val="both"/>
        <w:rPr>
          <w:rFonts w:eastAsiaTheme="majorEastAsia"/>
          <w:color w:val="000000" w:themeColor="text1"/>
          <w:kern w:val="24"/>
        </w:rPr>
      </w:pPr>
    </w:p>
    <w:p w:rsidR="00293BE2" w:rsidRPr="00201183" w:rsidRDefault="00C031D1" w:rsidP="00201183">
      <w:pPr>
        <w:pStyle w:val="Paragraphedeliste"/>
        <w:numPr>
          <w:ilvl w:val="0"/>
          <w:numId w:val="6"/>
        </w:numPr>
        <w:rPr>
          <w:b/>
          <w:color w:val="C00000"/>
        </w:rPr>
      </w:pPr>
      <w:r w:rsidRPr="00201183">
        <w:rPr>
          <w:b/>
          <w:color w:val="C00000"/>
        </w:rPr>
        <w:t>CORTICOIDES</w:t>
      </w:r>
    </w:p>
    <w:p w:rsidR="00C031D1" w:rsidRPr="00C031D1" w:rsidRDefault="00C031D1" w:rsidP="00293BE2">
      <w:pPr>
        <w:rPr>
          <w:i/>
          <w:color w:val="C00000"/>
        </w:rPr>
      </w:pPr>
      <w:r w:rsidRPr="00C031D1">
        <w:rPr>
          <w:i/>
          <w:color w:val="C00000"/>
        </w:rPr>
        <w:t>Aspects organisationnels</w:t>
      </w:r>
    </w:p>
    <w:p w:rsidR="00293BE2" w:rsidRPr="00A26D7C" w:rsidRDefault="00C031D1" w:rsidP="00293BE2">
      <w:pPr>
        <w:rPr>
          <w:b/>
          <w:color w:val="1F4E79" w:themeColor="accent1" w:themeShade="80"/>
        </w:rPr>
      </w:pPr>
      <w:proofErr w:type="spellStart"/>
      <w:r w:rsidRPr="00A26D7C">
        <w:rPr>
          <w:b/>
          <w:color w:val="1F4E79" w:themeColor="accent1" w:themeShade="80"/>
        </w:rPr>
        <w:t>E</w:t>
      </w:r>
      <w:r w:rsidR="00293BE2" w:rsidRPr="00A26D7C">
        <w:rPr>
          <w:b/>
          <w:color w:val="1F4E79" w:themeColor="accent1" w:themeShade="80"/>
        </w:rPr>
        <w:t>st ce</w:t>
      </w:r>
      <w:proofErr w:type="spellEnd"/>
      <w:r w:rsidR="00293BE2" w:rsidRPr="00A26D7C">
        <w:rPr>
          <w:b/>
          <w:color w:val="1F4E79" w:themeColor="accent1" w:themeShade="80"/>
        </w:rPr>
        <w:t xml:space="preserve"> qu'on est </w:t>
      </w:r>
      <w:r w:rsidR="0091214D" w:rsidRPr="00A26D7C">
        <w:rPr>
          <w:b/>
          <w:color w:val="1F4E79" w:themeColor="accent1" w:themeShade="80"/>
        </w:rPr>
        <w:t>déjà</w:t>
      </w:r>
      <w:r w:rsidR="00293BE2" w:rsidRPr="00A26D7C">
        <w:rPr>
          <w:b/>
          <w:color w:val="1F4E79" w:themeColor="accent1" w:themeShade="80"/>
        </w:rPr>
        <w:t xml:space="preserve"> en tensi</w:t>
      </w:r>
      <w:r w:rsidR="00F41BD4">
        <w:rPr>
          <w:b/>
          <w:color w:val="1F4E79" w:themeColor="accent1" w:themeShade="80"/>
        </w:rPr>
        <w:t xml:space="preserve">on d'approvisionnement pour la </w:t>
      </w:r>
      <w:proofErr w:type="spellStart"/>
      <w:r w:rsidR="00F41BD4">
        <w:rPr>
          <w:b/>
          <w:color w:val="1F4E79" w:themeColor="accent1" w:themeShade="80"/>
        </w:rPr>
        <w:t>Dé</w:t>
      </w:r>
      <w:r w:rsidR="00293BE2" w:rsidRPr="00A26D7C">
        <w:rPr>
          <w:b/>
          <w:color w:val="1F4E79" w:themeColor="accent1" w:themeShade="80"/>
        </w:rPr>
        <w:t>xamethasone</w:t>
      </w:r>
      <w:proofErr w:type="spellEnd"/>
      <w:r w:rsidR="00293BE2" w:rsidRPr="00A26D7C">
        <w:rPr>
          <w:b/>
          <w:color w:val="1F4E79" w:themeColor="accent1" w:themeShade="80"/>
        </w:rPr>
        <w:t xml:space="preserve"> ?</w:t>
      </w:r>
    </w:p>
    <w:p w:rsidR="00A26D7C" w:rsidRDefault="00A26D7C" w:rsidP="00CE2291">
      <w:pPr>
        <w:ind w:left="708"/>
        <w:jc w:val="both"/>
      </w:pPr>
      <w:r>
        <w:t>Sur le site de l’</w:t>
      </w:r>
      <w:r w:rsidR="007F5E37">
        <w:t>ANSM consulté le 14/11/2020,</w:t>
      </w:r>
      <w:r w:rsidR="00F41BD4">
        <w:t xml:space="preserve"> </w:t>
      </w:r>
      <w:r>
        <w:t xml:space="preserve">la </w:t>
      </w:r>
      <w:proofErr w:type="spellStart"/>
      <w:r>
        <w:t>Déxamethasone</w:t>
      </w:r>
      <w:proofErr w:type="spellEnd"/>
      <w:r>
        <w:t xml:space="preserve"> injectable 4mg/ml et 20mg/5ml figurent sur leur site comme étant </w:t>
      </w:r>
      <w:r w:rsidR="004B6D38">
        <w:t>contingentée,</w:t>
      </w:r>
      <w:r>
        <w:t xml:space="preserve"> ce qui atteste des tensions d’approvisionnements.</w:t>
      </w:r>
    </w:p>
    <w:p w:rsidR="00C031D1" w:rsidRPr="00C031D1" w:rsidRDefault="00C031D1" w:rsidP="00293BE2">
      <w:pPr>
        <w:rPr>
          <w:i/>
          <w:color w:val="C00000"/>
        </w:rPr>
      </w:pPr>
      <w:r w:rsidRPr="00C031D1">
        <w:rPr>
          <w:i/>
          <w:color w:val="C00000"/>
        </w:rPr>
        <w:t>Aspects médicaux</w:t>
      </w:r>
    </w:p>
    <w:p w:rsidR="00293BE2" w:rsidRPr="004157AE" w:rsidRDefault="00C031D1" w:rsidP="004157AE">
      <w:pPr>
        <w:spacing w:after="0"/>
        <w:rPr>
          <w:b/>
        </w:rPr>
      </w:pPr>
      <w:r w:rsidRPr="004157AE">
        <w:rPr>
          <w:b/>
          <w:color w:val="1F4E79" w:themeColor="accent1" w:themeShade="80"/>
        </w:rPr>
        <w:t xml:space="preserve">Quelles sont les </w:t>
      </w:r>
      <w:r w:rsidR="00293BE2" w:rsidRPr="004157AE">
        <w:rPr>
          <w:b/>
          <w:color w:val="1F4E79" w:themeColor="accent1" w:themeShade="80"/>
        </w:rPr>
        <w:t>équivalence</w:t>
      </w:r>
      <w:r w:rsidR="00F41BD4">
        <w:rPr>
          <w:b/>
          <w:color w:val="1F4E79" w:themeColor="accent1" w:themeShade="80"/>
        </w:rPr>
        <w:t xml:space="preserve">s possibles à la </w:t>
      </w:r>
      <w:proofErr w:type="spellStart"/>
      <w:r w:rsidR="00F41BD4">
        <w:rPr>
          <w:b/>
          <w:color w:val="1F4E79" w:themeColor="accent1" w:themeShade="80"/>
        </w:rPr>
        <w:t>D</w:t>
      </w:r>
      <w:r w:rsidRPr="004157AE">
        <w:rPr>
          <w:b/>
          <w:color w:val="1F4E79" w:themeColor="accent1" w:themeShade="80"/>
        </w:rPr>
        <w:t>éxaméthasone</w:t>
      </w:r>
      <w:proofErr w:type="spellEnd"/>
      <w:r w:rsidRPr="004157AE">
        <w:rPr>
          <w:b/>
          <w:color w:val="1F4E79" w:themeColor="accent1" w:themeShade="80"/>
        </w:rPr>
        <w:t xml:space="preserve"> </w:t>
      </w:r>
      <w:r w:rsidR="0077072D" w:rsidRPr="004157AE">
        <w:rPr>
          <w:b/>
          <w:color w:val="1F4E79" w:themeColor="accent1" w:themeShade="80"/>
        </w:rPr>
        <w:t>6 mg par jour</w:t>
      </w:r>
      <w:r w:rsidR="00293BE2" w:rsidRPr="004157AE">
        <w:rPr>
          <w:b/>
          <w:color w:val="1F4E79" w:themeColor="accent1" w:themeShade="80"/>
        </w:rPr>
        <w:t>?</w:t>
      </w:r>
    </w:p>
    <w:p w:rsidR="00C031D1" w:rsidRPr="004157AE" w:rsidRDefault="00C031D1" w:rsidP="004157AE">
      <w:pPr>
        <w:pStyle w:val="Corps"/>
        <w:widowControl w:val="0"/>
        <w:numPr>
          <w:ilvl w:val="2"/>
          <w:numId w:val="2"/>
        </w:numPr>
        <w:spacing w:after="0" w:line="240" w:lineRule="auto"/>
        <w:rPr>
          <w:rFonts w:cs="Calibri"/>
          <w:color w:val="auto"/>
        </w:rPr>
      </w:pPr>
      <w:proofErr w:type="spellStart"/>
      <w:r w:rsidRPr="004157AE">
        <w:rPr>
          <w:rFonts w:cs="Calibri"/>
          <w:color w:val="auto"/>
        </w:rPr>
        <w:t>Methylprednisolone</w:t>
      </w:r>
      <w:proofErr w:type="spellEnd"/>
      <w:r w:rsidRPr="004157AE">
        <w:rPr>
          <w:rFonts w:cs="Calibri"/>
          <w:color w:val="auto"/>
        </w:rPr>
        <w:t> :</w:t>
      </w:r>
    </w:p>
    <w:p w:rsidR="00C031D1" w:rsidRPr="004157AE" w:rsidRDefault="00C031D1" w:rsidP="0077072D">
      <w:pPr>
        <w:pStyle w:val="Corps"/>
        <w:widowControl w:val="0"/>
        <w:numPr>
          <w:ilvl w:val="3"/>
          <w:numId w:val="2"/>
        </w:numPr>
        <w:spacing w:after="0" w:line="240" w:lineRule="auto"/>
        <w:rPr>
          <w:rFonts w:cs="Calibri"/>
          <w:color w:val="auto"/>
        </w:rPr>
      </w:pPr>
      <w:r w:rsidRPr="004157AE">
        <w:rPr>
          <w:rFonts w:cs="Calibri"/>
          <w:color w:val="auto"/>
        </w:rPr>
        <w:t xml:space="preserve">PO </w:t>
      </w:r>
      <w:proofErr w:type="spellStart"/>
      <w:r w:rsidRPr="004157AE">
        <w:rPr>
          <w:rFonts w:cs="Calibri"/>
          <w:color w:val="auto"/>
        </w:rPr>
        <w:t>Medrol</w:t>
      </w:r>
      <w:proofErr w:type="spellEnd"/>
      <w:r w:rsidRPr="004157AE">
        <w:rPr>
          <w:rFonts w:cs="Calibri"/>
          <w:color w:val="auto"/>
        </w:rPr>
        <w:t xml:space="preserve">° : 32 mg/j </w:t>
      </w:r>
    </w:p>
    <w:p w:rsidR="00C031D1" w:rsidRPr="004157AE" w:rsidRDefault="00C031D1" w:rsidP="00C031D1">
      <w:pPr>
        <w:pStyle w:val="Corps"/>
        <w:widowControl w:val="0"/>
        <w:numPr>
          <w:ilvl w:val="2"/>
          <w:numId w:val="2"/>
        </w:numPr>
        <w:spacing w:after="0" w:line="240" w:lineRule="auto"/>
        <w:rPr>
          <w:rFonts w:cs="Calibri"/>
          <w:color w:val="auto"/>
        </w:rPr>
      </w:pPr>
      <w:proofErr w:type="gramStart"/>
      <w:r w:rsidRPr="004157AE">
        <w:rPr>
          <w:rFonts w:cs="Calibri"/>
          <w:color w:val="auto"/>
        </w:rPr>
        <w:t>Prednisone  :</w:t>
      </w:r>
      <w:proofErr w:type="gramEnd"/>
      <w:r w:rsidRPr="004157AE">
        <w:rPr>
          <w:rFonts w:cs="Calibri"/>
          <w:color w:val="auto"/>
        </w:rPr>
        <w:t xml:space="preserve"> </w:t>
      </w:r>
    </w:p>
    <w:p w:rsidR="00C031D1" w:rsidRPr="004157AE" w:rsidRDefault="00C031D1" w:rsidP="00C031D1">
      <w:pPr>
        <w:pStyle w:val="Corps"/>
        <w:widowControl w:val="0"/>
        <w:numPr>
          <w:ilvl w:val="3"/>
          <w:numId w:val="2"/>
        </w:numPr>
        <w:spacing w:after="0" w:line="240" w:lineRule="auto"/>
        <w:rPr>
          <w:rFonts w:cs="Calibri"/>
          <w:color w:val="auto"/>
        </w:rPr>
      </w:pPr>
      <w:r w:rsidRPr="004157AE">
        <w:rPr>
          <w:rFonts w:cs="Calibri"/>
          <w:color w:val="auto"/>
        </w:rPr>
        <w:t xml:space="preserve">PO </w:t>
      </w:r>
      <w:proofErr w:type="spellStart"/>
      <w:r w:rsidRPr="004157AE">
        <w:rPr>
          <w:rFonts w:cs="Calibri"/>
          <w:color w:val="auto"/>
        </w:rPr>
        <w:t>Cortancyl</w:t>
      </w:r>
      <w:proofErr w:type="spellEnd"/>
      <w:r w:rsidRPr="004157AE">
        <w:rPr>
          <w:rFonts w:cs="Calibri"/>
          <w:color w:val="auto"/>
        </w:rPr>
        <w:t xml:space="preserve">° : 40 mg/j </w:t>
      </w:r>
    </w:p>
    <w:p w:rsidR="0077072D" w:rsidRPr="004157AE" w:rsidRDefault="0077072D" w:rsidP="0077072D">
      <w:pPr>
        <w:pStyle w:val="Corps"/>
        <w:widowControl w:val="0"/>
        <w:numPr>
          <w:ilvl w:val="2"/>
          <w:numId w:val="2"/>
        </w:numPr>
        <w:spacing w:after="0" w:line="240" w:lineRule="auto"/>
        <w:rPr>
          <w:rFonts w:cs="Calibri"/>
          <w:color w:val="auto"/>
        </w:rPr>
      </w:pPr>
      <w:r w:rsidRPr="004157AE">
        <w:rPr>
          <w:rFonts w:cs="Calibri"/>
          <w:color w:val="auto"/>
        </w:rPr>
        <w:t>Hydrocortisone (en dernière intention)</w:t>
      </w:r>
    </w:p>
    <w:p w:rsidR="0077072D" w:rsidRPr="004157AE" w:rsidRDefault="0077072D" w:rsidP="0077072D">
      <w:pPr>
        <w:pStyle w:val="Corps"/>
        <w:widowControl w:val="0"/>
        <w:spacing w:after="0" w:line="240" w:lineRule="auto"/>
        <w:ind w:left="1323"/>
        <w:rPr>
          <w:rFonts w:cs="Calibri"/>
          <w:color w:val="auto"/>
        </w:rPr>
      </w:pPr>
      <w:r w:rsidRPr="004157AE">
        <w:rPr>
          <w:rFonts w:cs="Calibri"/>
          <w:color w:val="auto"/>
        </w:rPr>
        <w:t xml:space="preserve">IV : </w:t>
      </w:r>
      <w:proofErr w:type="spellStart"/>
      <w:r w:rsidRPr="004157AE">
        <w:rPr>
          <w:rFonts w:cs="Calibri"/>
          <w:color w:val="auto"/>
        </w:rPr>
        <w:t>Hemisuccinate</w:t>
      </w:r>
      <w:proofErr w:type="spellEnd"/>
      <w:r w:rsidRPr="004157AE">
        <w:rPr>
          <w:rFonts w:cs="Calibri"/>
          <w:color w:val="auto"/>
        </w:rPr>
        <w:t xml:space="preserve"> d’hydrocortisone : 160mg/j</w:t>
      </w:r>
    </w:p>
    <w:p w:rsidR="00C031D1" w:rsidRPr="004157AE" w:rsidRDefault="00C031D1" w:rsidP="004157AE">
      <w:pPr>
        <w:pStyle w:val="Corps"/>
        <w:widowControl w:val="0"/>
        <w:spacing w:after="0" w:line="240" w:lineRule="auto"/>
        <w:ind w:left="567"/>
        <w:rPr>
          <w:rFonts w:cs="Calibri"/>
          <w:b/>
          <w:bCs/>
          <w:color w:val="auto"/>
        </w:rPr>
      </w:pPr>
      <w:proofErr w:type="spellStart"/>
      <w:proofErr w:type="gramStart"/>
      <w:r w:rsidRPr="004157AE">
        <w:rPr>
          <w:rStyle w:val="Aucun"/>
          <w:rFonts w:cs="Calibri"/>
          <w:b/>
          <w:bCs/>
          <w:color w:val="auto"/>
          <w:u w:color="212529"/>
        </w:rPr>
        <w:t>Voie</w:t>
      </w:r>
      <w:proofErr w:type="spellEnd"/>
      <w:r w:rsidRPr="004157AE">
        <w:rPr>
          <w:rStyle w:val="Aucun"/>
          <w:rFonts w:cs="Calibri"/>
          <w:color w:val="auto"/>
          <w:u w:color="212529"/>
        </w:rPr>
        <w:t xml:space="preserve"> :</w:t>
      </w:r>
      <w:proofErr w:type="gramEnd"/>
      <w:r w:rsidRPr="004157AE">
        <w:rPr>
          <w:rStyle w:val="Aucun"/>
          <w:rFonts w:cs="Calibri"/>
          <w:color w:val="auto"/>
          <w:u w:color="212529"/>
        </w:rPr>
        <w:t xml:space="preserve"> </w:t>
      </w:r>
      <w:r w:rsidR="004B6D38" w:rsidRPr="004157AE">
        <w:rPr>
          <w:rStyle w:val="Aucun"/>
          <w:rFonts w:cs="Calibri"/>
          <w:color w:val="auto"/>
          <w:u w:color="212529"/>
        </w:rPr>
        <w:t>Privilegier</w:t>
      </w:r>
      <w:r w:rsidRPr="004157AE">
        <w:rPr>
          <w:rStyle w:val="Aucun"/>
          <w:rFonts w:cs="Calibri"/>
          <w:color w:val="auto"/>
          <w:u w:color="212529"/>
        </w:rPr>
        <w:t xml:space="preserve"> </w:t>
      </w:r>
      <w:proofErr w:type="spellStart"/>
      <w:r w:rsidRPr="004157AE">
        <w:rPr>
          <w:rStyle w:val="Aucun"/>
          <w:rFonts w:cs="Calibri"/>
          <w:color w:val="auto"/>
          <w:u w:color="212529"/>
        </w:rPr>
        <w:t>voie</w:t>
      </w:r>
      <w:proofErr w:type="spellEnd"/>
      <w:r w:rsidRPr="004157AE">
        <w:rPr>
          <w:rStyle w:val="Aucun"/>
          <w:rFonts w:cs="Calibri"/>
          <w:color w:val="auto"/>
          <w:u w:color="212529"/>
        </w:rPr>
        <w:t xml:space="preserve"> orale</w:t>
      </w:r>
    </w:p>
    <w:p w:rsidR="00C031D1" w:rsidRPr="004157AE" w:rsidRDefault="00C031D1" w:rsidP="004157AE">
      <w:pPr>
        <w:pStyle w:val="Corps"/>
        <w:widowControl w:val="0"/>
        <w:spacing w:after="0" w:line="240" w:lineRule="auto"/>
        <w:ind w:left="567"/>
        <w:rPr>
          <w:rStyle w:val="Aucun"/>
          <w:rFonts w:cs="Calibri"/>
          <w:b/>
          <w:bCs/>
          <w:color w:val="auto"/>
        </w:rPr>
      </w:pPr>
      <w:proofErr w:type="spellStart"/>
      <w:r w:rsidRPr="004157AE">
        <w:rPr>
          <w:rStyle w:val="Aucun"/>
          <w:rFonts w:cs="Calibri"/>
          <w:b/>
          <w:bCs/>
          <w:color w:val="auto"/>
          <w:u w:color="212529"/>
        </w:rPr>
        <w:t>Durée</w:t>
      </w:r>
      <w:proofErr w:type="spellEnd"/>
      <w:r w:rsidRPr="004157AE">
        <w:rPr>
          <w:rStyle w:val="Aucun"/>
          <w:rFonts w:cs="Calibri"/>
          <w:color w:val="auto"/>
          <w:u w:color="212529"/>
        </w:rPr>
        <w:t xml:space="preserve"> :</w:t>
      </w:r>
      <w:r w:rsidRPr="004157AE">
        <w:rPr>
          <w:rStyle w:val="Aucun"/>
          <w:rFonts w:cs="Calibri"/>
          <w:color w:val="auto"/>
        </w:rPr>
        <w:t xml:space="preserve">10 </w:t>
      </w:r>
      <w:proofErr w:type="spellStart"/>
      <w:r w:rsidRPr="004157AE">
        <w:rPr>
          <w:rStyle w:val="Aucun"/>
          <w:rFonts w:cs="Calibri"/>
          <w:color w:val="auto"/>
        </w:rPr>
        <w:t>jours</w:t>
      </w:r>
      <w:proofErr w:type="spellEnd"/>
      <w:r w:rsidRPr="004157AE">
        <w:rPr>
          <w:rStyle w:val="Aucun"/>
          <w:rFonts w:cs="Calibri"/>
          <w:color w:val="auto"/>
        </w:rPr>
        <w:t xml:space="preserve"> </w:t>
      </w:r>
      <w:proofErr w:type="spellStart"/>
      <w:r w:rsidR="0077072D" w:rsidRPr="004157AE">
        <w:rPr>
          <w:rStyle w:val="Aucun"/>
          <w:rFonts w:cs="Calibri"/>
          <w:color w:val="auto"/>
        </w:rPr>
        <w:t>puis</w:t>
      </w:r>
      <w:proofErr w:type="spellEnd"/>
      <w:r w:rsidR="0077072D" w:rsidRPr="004157AE">
        <w:rPr>
          <w:rStyle w:val="Aucun"/>
          <w:rFonts w:cs="Calibri"/>
          <w:color w:val="auto"/>
        </w:rPr>
        <w:t xml:space="preserve"> </w:t>
      </w:r>
      <w:proofErr w:type="spellStart"/>
      <w:r w:rsidR="0077072D" w:rsidRPr="004157AE">
        <w:rPr>
          <w:rStyle w:val="Aucun"/>
          <w:rFonts w:cs="Calibri"/>
          <w:color w:val="auto"/>
        </w:rPr>
        <w:t>décroissance</w:t>
      </w:r>
      <w:proofErr w:type="spellEnd"/>
      <w:r w:rsidR="0077072D" w:rsidRPr="004157AE">
        <w:rPr>
          <w:rStyle w:val="Aucun"/>
          <w:rFonts w:cs="Calibri"/>
          <w:color w:val="auto"/>
        </w:rPr>
        <w:t xml:space="preserve"> progressive </w:t>
      </w:r>
      <w:proofErr w:type="spellStart"/>
      <w:r w:rsidR="0077072D" w:rsidRPr="004157AE">
        <w:rPr>
          <w:rStyle w:val="Aucun"/>
          <w:rFonts w:cs="Calibri"/>
          <w:color w:val="auto"/>
        </w:rPr>
        <w:t>sur</w:t>
      </w:r>
      <w:proofErr w:type="spellEnd"/>
      <w:r w:rsidR="0077072D" w:rsidRPr="004157AE">
        <w:rPr>
          <w:rStyle w:val="Aucun"/>
          <w:rFonts w:cs="Calibri"/>
          <w:color w:val="auto"/>
        </w:rPr>
        <w:t xml:space="preserve"> 3 à 4 </w:t>
      </w:r>
      <w:proofErr w:type="spellStart"/>
      <w:r w:rsidR="0077072D" w:rsidRPr="004157AE">
        <w:rPr>
          <w:rStyle w:val="Aucun"/>
          <w:rFonts w:cs="Calibri"/>
          <w:color w:val="auto"/>
        </w:rPr>
        <w:t>jours</w:t>
      </w:r>
      <w:proofErr w:type="spellEnd"/>
      <w:r w:rsidR="0077072D" w:rsidRPr="004157AE">
        <w:rPr>
          <w:rStyle w:val="Aucun"/>
          <w:rFonts w:cs="Calibri"/>
          <w:color w:val="auto"/>
        </w:rPr>
        <w:t xml:space="preserve"> </w:t>
      </w:r>
    </w:p>
    <w:p w:rsidR="00C031D1" w:rsidRDefault="00C031D1" w:rsidP="004157AE">
      <w:pPr>
        <w:pStyle w:val="Corps"/>
        <w:widowControl w:val="0"/>
        <w:spacing w:after="0" w:line="240" w:lineRule="auto"/>
        <w:ind w:firstLine="567"/>
        <w:rPr>
          <w:rFonts w:cs="Calibri"/>
          <w:color w:val="auto"/>
        </w:rPr>
      </w:pPr>
      <w:r w:rsidRPr="004157AE">
        <w:rPr>
          <w:rFonts w:cs="Calibri"/>
          <w:color w:val="auto"/>
        </w:rPr>
        <w:t>Surveillance majorée si diabète préexistant</w:t>
      </w:r>
    </w:p>
    <w:p w:rsidR="004157AE" w:rsidRDefault="004157AE" w:rsidP="004157AE">
      <w:pPr>
        <w:spacing w:after="0"/>
      </w:pPr>
    </w:p>
    <w:p w:rsidR="004157AE" w:rsidRPr="004157AE" w:rsidRDefault="0091214D" w:rsidP="004157AE">
      <w:pPr>
        <w:spacing w:after="0"/>
        <w:rPr>
          <w:b/>
          <w:color w:val="1F4E79" w:themeColor="accent1" w:themeShade="80"/>
        </w:rPr>
      </w:pPr>
      <w:r w:rsidRPr="004157AE">
        <w:rPr>
          <w:b/>
          <w:color w:val="1F4E79" w:themeColor="accent1" w:themeShade="80"/>
        </w:rPr>
        <w:t>Peut-on</w:t>
      </w:r>
      <w:r w:rsidR="004157AE" w:rsidRPr="004157AE">
        <w:rPr>
          <w:b/>
          <w:color w:val="1F4E79" w:themeColor="accent1" w:themeShade="80"/>
        </w:rPr>
        <w:t xml:space="preserve"> prescrire une corticothérapie dès les premiers jours de la maladie ?</w:t>
      </w:r>
    </w:p>
    <w:p w:rsidR="004157AE" w:rsidRDefault="004157AE" w:rsidP="00B1153F">
      <w:pPr>
        <w:spacing w:after="0"/>
        <w:ind w:left="708"/>
        <w:jc w:val="both"/>
      </w:pPr>
      <w:r>
        <w:t xml:space="preserve">Les recommandations précisent que la corticothérapie sera débutée dans les 7 jours après le début </w:t>
      </w:r>
      <w:r w:rsidRPr="00A26D7C">
        <w:t>des symptôme</w:t>
      </w:r>
      <w:r w:rsidR="00201183" w:rsidRPr="00A26D7C">
        <w:t xml:space="preserve">s et chez un patient </w:t>
      </w:r>
      <w:proofErr w:type="spellStart"/>
      <w:r w:rsidR="00201183" w:rsidRPr="00A26D7C">
        <w:t>oxygéno</w:t>
      </w:r>
      <w:proofErr w:type="spellEnd"/>
      <w:r w:rsidR="00201183" w:rsidRPr="00A26D7C">
        <w:t xml:space="preserve"> -requérant</w:t>
      </w:r>
      <w:r w:rsidRPr="00A26D7C">
        <w:t>. En pratique difficile d’établir la date des premiers symptômes</w:t>
      </w:r>
      <w:r>
        <w:t xml:space="preserve"> ceux-ci étant polymorphes en type et intensité dans la COVID. On prescrira donc la corticothérapie à domicile chez un patient COVID dans la situation suivante :</w:t>
      </w:r>
    </w:p>
    <w:p w:rsidR="004157AE" w:rsidRPr="004157AE" w:rsidRDefault="004157AE" w:rsidP="00B1153F">
      <w:pPr>
        <w:spacing w:after="0"/>
        <w:ind w:left="1417"/>
        <w:jc w:val="both"/>
        <w:rPr>
          <w:rFonts w:ascii="Segoe UI Symbol" w:hAnsi="Segoe UI Symbol" w:cs="Segoe UI Symbol"/>
        </w:rPr>
      </w:pPr>
      <w:r>
        <w:rPr>
          <w:rFonts w:ascii="Segoe UI Symbol" w:hAnsi="Segoe UI Symbol" w:cs="Segoe UI Symbol"/>
        </w:rPr>
        <w:t>✓</w:t>
      </w:r>
      <w:r>
        <w:tab/>
      </w:r>
      <w:r w:rsidRPr="004157AE">
        <w:rPr>
          <w:rFonts w:cstheme="minorHAnsi"/>
        </w:rPr>
        <w:t>SaO2 &lt; à 94% ou 90% pour les BPCO/IRC</w:t>
      </w:r>
    </w:p>
    <w:p w:rsidR="004157AE" w:rsidRDefault="004157AE" w:rsidP="00B1153F">
      <w:pPr>
        <w:spacing w:after="0"/>
        <w:ind w:left="1417"/>
        <w:jc w:val="both"/>
      </w:pPr>
      <w:r>
        <w:rPr>
          <w:rFonts w:ascii="Segoe UI Symbol" w:hAnsi="Segoe UI Symbol" w:cs="Segoe UI Symbol"/>
        </w:rPr>
        <w:t>✓</w:t>
      </w:r>
      <w:r>
        <w:tab/>
        <w:t>et non possibilité d’hospitalisation</w:t>
      </w:r>
    </w:p>
    <w:p w:rsidR="004157AE" w:rsidRDefault="004157AE" w:rsidP="00B1153F">
      <w:pPr>
        <w:spacing w:after="0"/>
        <w:ind w:left="1417"/>
        <w:jc w:val="both"/>
      </w:pPr>
      <w:r>
        <w:rPr>
          <w:rFonts w:ascii="Segoe UI Symbol" w:hAnsi="Segoe UI Symbol" w:cs="Segoe UI Symbol"/>
        </w:rPr>
        <w:t>✓</w:t>
      </w:r>
      <w:r>
        <w:tab/>
        <w:t>et si bé</w:t>
      </w:r>
      <w:r w:rsidR="00201183">
        <w:t>néfice jugé supérieur au risque</w:t>
      </w:r>
      <w:r>
        <w:t>, au cas par cas, chez les patients de plus de 70 ans</w:t>
      </w:r>
    </w:p>
    <w:p w:rsidR="004157AE" w:rsidRDefault="004157AE" w:rsidP="004157AE">
      <w:pPr>
        <w:spacing w:after="0"/>
      </w:pPr>
    </w:p>
    <w:p w:rsidR="00293BE2" w:rsidRDefault="00293BE2">
      <w:pPr>
        <w:rPr>
          <w:b/>
          <w:caps/>
          <w:color w:val="C00000"/>
        </w:rPr>
      </w:pPr>
      <w:r w:rsidRPr="00F41BD4">
        <w:rPr>
          <w:b/>
          <w:caps/>
          <w:color w:val="C00000"/>
        </w:rPr>
        <w:t>Antithrombotiques</w:t>
      </w:r>
    </w:p>
    <w:p w:rsidR="005A716E" w:rsidRPr="005A716E" w:rsidRDefault="005A716E" w:rsidP="00293BE2">
      <w:pPr>
        <w:rPr>
          <w:b/>
          <w:color w:val="1F4E79" w:themeColor="accent1" w:themeShade="80"/>
        </w:rPr>
      </w:pPr>
      <w:r w:rsidRPr="005A716E">
        <w:rPr>
          <w:b/>
          <w:color w:val="1F4E79" w:themeColor="accent1" w:themeShade="80"/>
        </w:rPr>
        <w:t xml:space="preserve">Y </w:t>
      </w:r>
      <w:proofErr w:type="spellStart"/>
      <w:r w:rsidRPr="005A716E">
        <w:rPr>
          <w:b/>
          <w:color w:val="1F4E79" w:themeColor="accent1" w:themeShade="80"/>
        </w:rPr>
        <w:t>a-t-il</w:t>
      </w:r>
      <w:proofErr w:type="spellEnd"/>
      <w:r w:rsidRPr="005A716E">
        <w:rPr>
          <w:b/>
          <w:color w:val="1F4E79" w:themeColor="accent1" w:themeShade="80"/>
        </w:rPr>
        <w:t xml:space="preserve"> un intérêt à prescrire en plus du traitement </w:t>
      </w:r>
      <w:proofErr w:type="spellStart"/>
      <w:r w:rsidRPr="005A716E">
        <w:rPr>
          <w:b/>
          <w:color w:val="1F4E79" w:themeColor="accent1" w:themeShade="80"/>
        </w:rPr>
        <w:t>antithrombotique</w:t>
      </w:r>
      <w:proofErr w:type="spellEnd"/>
      <w:r w:rsidRPr="005A716E">
        <w:rPr>
          <w:b/>
          <w:color w:val="1F4E79" w:themeColor="accent1" w:themeShade="80"/>
        </w:rPr>
        <w:t xml:space="preserve"> des bas de contention ?</w:t>
      </w:r>
    </w:p>
    <w:p w:rsidR="005A716E" w:rsidRDefault="005A716E" w:rsidP="00B1153F">
      <w:pPr>
        <w:ind w:firstLine="708"/>
      </w:pPr>
      <w:r w:rsidRPr="005A716E">
        <w:t xml:space="preserve">Oui </w:t>
      </w:r>
      <w:r w:rsidR="0091214D">
        <w:t>sauf si artériopathie des membres inférieurs sévère.</w:t>
      </w:r>
    </w:p>
    <w:p w:rsidR="005A716E" w:rsidRPr="005A716E" w:rsidRDefault="005A716E" w:rsidP="00293BE2">
      <w:pPr>
        <w:rPr>
          <w:b/>
          <w:color w:val="1F4E79" w:themeColor="accent1" w:themeShade="80"/>
        </w:rPr>
      </w:pPr>
      <w:r w:rsidRPr="005A716E">
        <w:rPr>
          <w:b/>
          <w:color w:val="1F4E79" w:themeColor="accent1" w:themeShade="80"/>
        </w:rPr>
        <w:t>Que faire si le patient prend des antiagrégants ?</w:t>
      </w:r>
    </w:p>
    <w:p w:rsidR="005A716E" w:rsidRPr="005A716E" w:rsidRDefault="005A716E" w:rsidP="00B1153F">
      <w:pPr>
        <w:ind w:firstLine="708"/>
        <w:jc w:val="both"/>
      </w:pPr>
      <w:r>
        <w:t>Poursuivre les antiagrégants et ajouter le traitement par HBPM/HNF selon les recommandations</w:t>
      </w:r>
      <w:r w:rsidR="00F41BD4">
        <w:t>.</w:t>
      </w:r>
    </w:p>
    <w:p w:rsidR="005A716E" w:rsidRDefault="005A716E" w:rsidP="00293BE2">
      <w:pPr>
        <w:rPr>
          <w:b/>
          <w:color w:val="1F4E79" w:themeColor="accent1" w:themeShade="80"/>
        </w:rPr>
      </w:pPr>
      <w:r w:rsidRPr="005A716E">
        <w:rPr>
          <w:b/>
          <w:color w:val="1F4E79" w:themeColor="accent1" w:themeShade="80"/>
        </w:rPr>
        <w:t>Que faire si le patient est déjà sous anticoagulants directs ou AVK ?</w:t>
      </w:r>
    </w:p>
    <w:p w:rsidR="005A716E" w:rsidRDefault="005A716E" w:rsidP="00D22597">
      <w:pPr>
        <w:ind w:firstLine="708"/>
        <w:rPr>
          <w:b/>
        </w:rPr>
      </w:pPr>
      <w:r w:rsidRPr="005A716E">
        <w:rPr>
          <w:b/>
        </w:rPr>
        <w:lastRenderedPageBreak/>
        <w:t>Pas d’association HBPM avec AOD ou AVK</w:t>
      </w:r>
    </w:p>
    <w:p w:rsidR="008D7A0B" w:rsidRPr="005A716E" w:rsidRDefault="008D7A0B" w:rsidP="00D22597">
      <w:pPr>
        <w:ind w:firstLine="708"/>
        <w:rPr>
          <w:b/>
        </w:rPr>
      </w:pPr>
      <w:r>
        <w:rPr>
          <w:b/>
        </w:rPr>
        <w:t xml:space="preserve">Poursuite du traitement par AVK ou AOD sauf : </w:t>
      </w:r>
    </w:p>
    <w:p w:rsidR="005A716E" w:rsidRPr="005A716E" w:rsidRDefault="005A716E" w:rsidP="00D22597">
      <w:pPr>
        <w:ind w:left="709" w:firstLine="142"/>
      </w:pPr>
      <w:r w:rsidRPr="005A716E">
        <w:t>•</w:t>
      </w:r>
      <w:r w:rsidRPr="005A716E">
        <w:tab/>
        <w:t>SI patient sous AVK avec risque d’</w:t>
      </w:r>
      <w:r w:rsidR="004B6D38" w:rsidRPr="005A716E">
        <w:t>instabilité</w:t>
      </w:r>
      <w:r w:rsidRPr="005A716E">
        <w:t xml:space="preserve">́ de l’INR et/ou risque d’interactions </w:t>
      </w:r>
      <w:r w:rsidR="004B6D38" w:rsidRPr="005A716E">
        <w:t>médicamenteuses</w:t>
      </w:r>
      <w:r w:rsidRPr="005A716E">
        <w:t xml:space="preserve"> et/ou atteinte hépatique :</w:t>
      </w:r>
      <w:r w:rsidRPr="005A716E">
        <w:tab/>
        <w:t>discuter relai</w:t>
      </w:r>
      <w:r w:rsidR="00F41BD4">
        <w:t>s</w:t>
      </w:r>
      <w:r w:rsidRPr="005A716E">
        <w:t xml:space="preserve"> par HBPM ou HNF selon antécédents, fonction rénale et traitements associés </w:t>
      </w:r>
    </w:p>
    <w:p w:rsidR="005A716E" w:rsidRPr="005A716E" w:rsidRDefault="005A716E" w:rsidP="00D22597">
      <w:pPr>
        <w:ind w:left="709" w:firstLine="142"/>
      </w:pPr>
      <w:r w:rsidRPr="005A716E">
        <w:t>•</w:t>
      </w:r>
      <w:r w:rsidRPr="005A716E">
        <w:tab/>
      </w:r>
      <w:r w:rsidR="008D7A0B">
        <w:t xml:space="preserve">Pour patient sous AOD </w:t>
      </w:r>
      <w:r w:rsidRPr="005A716E">
        <w:t>si</w:t>
      </w:r>
      <w:r w:rsidR="008D7A0B">
        <w:t xml:space="preserve"> présence </w:t>
      </w:r>
      <w:r w:rsidR="004B6D38">
        <w:t xml:space="preserve">d’une </w:t>
      </w:r>
      <w:r w:rsidR="004B6D38" w:rsidRPr="005A716E">
        <w:t>insuffisance</w:t>
      </w:r>
      <w:r w:rsidRPr="005A716E">
        <w:t xml:space="preserve"> rénale sévère liée à la situation aigue switcher pour une HNF </w:t>
      </w:r>
    </w:p>
    <w:p w:rsidR="00293BE2" w:rsidRDefault="004B6D38" w:rsidP="00293BE2">
      <w:pPr>
        <w:rPr>
          <w:b/>
          <w:color w:val="1F4E79" w:themeColor="accent1" w:themeShade="80"/>
        </w:rPr>
      </w:pPr>
      <w:r>
        <w:rPr>
          <w:b/>
          <w:color w:val="1F4E79" w:themeColor="accent1" w:themeShade="80"/>
        </w:rPr>
        <w:t>Peut-on</w:t>
      </w:r>
      <w:r w:rsidR="005A716E">
        <w:rPr>
          <w:b/>
          <w:color w:val="1F4E79" w:themeColor="accent1" w:themeShade="80"/>
        </w:rPr>
        <w:t xml:space="preserve"> utiliser</w:t>
      </w:r>
      <w:r w:rsidR="00D22597">
        <w:rPr>
          <w:b/>
          <w:color w:val="1F4E79" w:themeColor="accent1" w:themeShade="80"/>
        </w:rPr>
        <w:t xml:space="preserve"> indifféremment la</w:t>
      </w:r>
      <w:r w:rsidR="005A716E">
        <w:rPr>
          <w:b/>
          <w:color w:val="1F4E79" w:themeColor="accent1" w:themeShade="80"/>
        </w:rPr>
        <w:t xml:space="preserve"> </w:t>
      </w:r>
      <w:proofErr w:type="spellStart"/>
      <w:r w:rsidR="005A716E">
        <w:rPr>
          <w:b/>
          <w:color w:val="1F4E79" w:themeColor="accent1" w:themeShade="80"/>
        </w:rPr>
        <w:t>tinzaparine</w:t>
      </w:r>
      <w:proofErr w:type="spellEnd"/>
      <w:r w:rsidR="00D22597">
        <w:rPr>
          <w:b/>
          <w:color w:val="1F4E79" w:themeColor="accent1" w:themeShade="80"/>
        </w:rPr>
        <w:t xml:space="preserve"> (</w:t>
      </w:r>
      <w:proofErr w:type="spellStart"/>
      <w:r w:rsidR="00D22597">
        <w:rPr>
          <w:b/>
          <w:color w:val="1F4E79" w:themeColor="accent1" w:themeShade="80"/>
        </w:rPr>
        <w:t>Innohep</w:t>
      </w:r>
      <w:proofErr w:type="spellEnd"/>
      <w:r w:rsidR="00D22597">
        <w:rPr>
          <w:b/>
          <w:color w:val="1F4E79" w:themeColor="accent1" w:themeShade="80"/>
        </w:rPr>
        <w:t xml:space="preserve">) ou </w:t>
      </w:r>
      <w:r>
        <w:rPr>
          <w:b/>
          <w:color w:val="1F4E79" w:themeColor="accent1" w:themeShade="80"/>
        </w:rPr>
        <w:t>l’</w:t>
      </w:r>
      <w:proofErr w:type="spellStart"/>
      <w:r w:rsidR="005A716E">
        <w:rPr>
          <w:b/>
          <w:color w:val="1F4E79" w:themeColor="accent1" w:themeShade="80"/>
        </w:rPr>
        <w:t>enoxaparine</w:t>
      </w:r>
      <w:proofErr w:type="spellEnd"/>
      <w:r w:rsidR="00D22597">
        <w:rPr>
          <w:b/>
          <w:color w:val="1F4E79" w:themeColor="accent1" w:themeShade="80"/>
        </w:rPr>
        <w:t xml:space="preserve"> (Lovenox)</w:t>
      </w:r>
      <w:r w:rsidR="00293BE2" w:rsidRPr="005A716E">
        <w:rPr>
          <w:b/>
          <w:color w:val="1F4E79" w:themeColor="accent1" w:themeShade="80"/>
        </w:rPr>
        <w:t> ?</w:t>
      </w:r>
    </w:p>
    <w:p w:rsidR="00D22597" w:rsidRPr="00D22597" w:rsidRDefault="00D22597" w:rsidP="00B1153F">
      <w:pPr>
        <w:ind w:firstLine="708"/>
        <w:rPr>
          <w:color w:val="000000" w:themeColor="text1"/>
        </w:rPr>
      </w:pPr>
      <w:r w:rsidRPr="00D22597">
        <w:rPr>
          <w:color w:val="000000" w:themeColor="text1"/>
        </w:rPr>
        <w:t>Oui</w:t>
      </w:r>
    </w:p>
    <w:p w:rsidR="00D22597" w:rsidRPr="00D22597" w:rsidRDefault="00D22597" w:rsidP="00293BE2">
      <w:pPr>
        <w:rPr>
          <w:b/>
          <w:color w:val="1F4E79" w:themeColor="accent1" w:themeShade="80"/>
        </w:rPr>
      </w:pPr>
      <w:r w:rsidRPr="00D22597">
        <w:rPr>
          <w:b/>
          <w:color w:val="1F4E79" w:themeColor="accent1" w:themeShade="80"/>
        </w:rPr>
        <w:t>Le s</w:t>
      </w:r>
      <w:r w:rsidR="0056480E" w:rsidRPr="00D22597">
        <w:rPr>
          <w:b/>
          <w:color w:val="1F4E79" w:themeColor="accent1" w:themeShade="80"/>
        </w:rPr>
        <w:t>core de Wel</w:t>
      </w:r>
      <w:r w:rsidRPr="00D22597">
        <w:rPr>
          <w:b/>
          <w:color w:val="1F4E79" w:themeColor="accent1" w:themeShade="80"/>
        </w:rPr>
        <w:t xml:space="preserve">ls </w:t>
      </w:r>
      <w:proofErr w:type="spellStart"/>
      <w:r w:rsidRPr="00D22597">
        <w:rPr>
          <w:b/>
          <w:color w:val="1F4E79" w:themeColor="accent1" w:themeShade="80"/>
        </w:rPr>
        <w:t>a-t-il</w:t>
      </w:r>
      <w:proofErr w:type="spellEnd"/>
      <w:r w:rsidRPr="00D22597">
        <w:rPr>
          <w:b/>
          <w:color w:val="1F4E79" w:themeColor="accent1" w:themeShade="80"/>
        </w:rPr>
        <w:t xml:space="preserve"> u</w:t>
      </w:r>
      <w:r w:rsidR="0056480E" w:rsidRPr="00D22597">
        <w:rPr>
          <w:b/>
          <w:color w:val="1F4E79" w:themeColor="accent1" w:themeShade="80"/>
        </w:rPr>
        <w:t xml:space="preserve">n </w:t>
      </w:r>
      <w:r w:rsidRPr="00D22597">
        <w:rPr>
          <w:b/>
          <w:color w:val="1F4E79" w:themeColor="accent1" w:themeShade="80"/>
        </w:rPr>
        <w:t>intérêt</w:t>
      </w:r>
      <w:r w:rsidR="0056480E" w:rsidRPr="00D22597">
        <w:rPr>
          <w:b/>
          <w:color w:val="1F4E79" w:themeColor="accent1" w:themeShade="80"/>
        </w:rPr>
        <w:t xml:space="preserve"> pour</w:t>
      </w:r>
      <w:r w:rsidRPr="00D22597">
        <w:rPr>
          <w:b/>
          <w:color w:val="1F4E79" w:themeColor="accent1" w:themeShade="80"/>
        </w:rPr>
        <w:t xml:space="preserve"> évaluer le</w:t>
      </w:r>
      <w:r w:rsidR="0056480E" w:rsidRPr="00D22597">
        <w:rPr>
          <w:b/>
          <w:color w:val="1F4E79" w:themeColor="accent1" w:themeShade="80"/>
        </w:rPr>
        <w:t xml:space="preserve"> risque EP à domicile</w:t>
      </w:r>
      <w:r w:rsidRPr="00D22597">
        <w:rPr>
          <w:b/>
          <w:color w:val="1F4E79" w:themeColor="accent1" w:themeShade="80"/>
        </w:rPr>
        <w:t xml:space="preserve"> dans ce contexte</w:t>
      </w:r>
      <w:r w:rsidR="0056480E" w:rsidRPr="00D22597">
        <w:rPr>
          <w:b/>
          <w:color w:val="1F4E79" w:themeColor="accent1" w:themeShade="80"/>
        </w:rPr>
        <w:t xml:space="preserve"> ? </w:t>
      </w:r>
    </w:p>
    <w:p w:rsidR="008D7A0B" w:rsidRDefault="008D7A0B" w:rsidP="00B1153F">
      <w:pPr>
        <w:ind w:left="708"/>
        <w:jc w:val="both"/>
      </w:pPr>
      <w:r>
        <w:t>Oui on peut l’utiliser (</w:t>
      </w:r>
      <w:hyperlink r:id="rId12" w:history="1">
        <w:r w:rsidRPr="00EF0EC5">
          <w:rPr>
            <w:rStyle w:val="Lienhypertexte"/>
          </w:rPr>
          <w:t>http://medicalcul.free.fr/wellsep.html</w:t>
        </w:r>
      </w:hyperlink>
      <w:r>
        <w:t>). Dans le contexte d’une infection COVID,</w:t>
      </w:r>
      <w:r w:rsidR="004B6D38">
        <w:t xml:space="preserve"> </w:t>
      </w:r>
      <w:r>
        <w:t xml:space="preserve">attention </w:t>
      </w:r>
      <w:r w:rsidRPr="008D7A0B">
        <w:t>il s’agit d’un diag</w:t>
      </w:r>
      <w:r>
        <w:t>nostic</w:t>
      </w:r>
      <w:r w:rsidRPr="008D7A0B">
        <w:t xml:space="preserve"> de suspicion d’EP chez un patient préalablement hypoxémique</w:t>
      </w:r>
      <w:r>
        <w:t xml:space="preserve"> : </w:t>
      </w:r>
      <w:r w:rsidRPr="00F41BD4">
        <w:rPr>
          <w:b/>
        </w:rPr>
        <w:t xml:space="preserve">ce qui doit alerter aussi est une aggravation de la dyspnée et/ou de </w:t>
      </w:r>
      <w:proofErr w:type="gramStart"/>
      <w:r w:rsidRPr="00F41BD4">
        <w:rPr>
          <w:b/>
        </w:rPr>
        <w:t>l’hypoxémie</w:t>
      </w:r>
      <w:r>
        <w:t xml:space="preserve"> .</w:t>
      </w:r>
      <w:proofErr w:type="gramEnd"/>
      <w:r w:rsidRPr="008D7A0B">
        <w:t xml:space="preserve"> </w:t>
      </w:r>
    </w:p>
    <w:p w:rsidR="00F41BD4" w:rsidRDefault="008D7A0B" w:rsidP="00B1153F">
      <w:pPr>
        <w:ind w:left="708"/>
        <w:jc w:val="both"/>
      </w:pPr>
      <w:r>
        <w:t>Dès qu’il y a une</w:t>
      </w:r>
      <w:r w:rsidR="00D22597">
        <w:t xml:space="preserve"> suspicion clinique faire des</w:t>
      </w:r>
      <w:r w:rsidR="0056480E">
        <w:t xml:space="preserve"> </w:t>
      </w:r>
      <w:proofErr w:type="spellStart"/>
      <w:proofErr w:type="gramStart"/>
      <w:r w:rsidR="0056480E">
        <w:t>DDim</w:t>
      </w:r>
      <w:r w:rsidR="00D22597">
        <w:t>ères</w:t>
      </w:r>
      <w:proofErr w:type="spellEnd"/>
      <w:r w:rsidR="00D22597">
        <w:t xml:space="preserve"> .</w:t>
      </w:r>
      <w:proofErr w:type="gramEnd"/>
      <w:r w:rsidR="00D22597">
        <w:t xml:space="preserve"> Si ceux-ci sont positifs </w:t>
      </w:r>
      <w:r>
        <w:t xml:space="preserve">adresser vers un plateau technique ad hoc pour </w:t>
      </w:r>
      <w:r w:rsidR="00D22597">
        <w:t xml:space="preserve">réaliser une scintigraphie V/P </w:t>
      </w:r>
      <w:r w:rsidR="0056480E">
        <w:t xml:space="preserve">ou </w:t>
      </w:r>
      <w:proofErr w:type="spellStart"/>
      <w:proofErr w:type="gramStart"/>
      <w:r w:rsidR="0056480E">
        <w:t>angioscan</w:t>
      </w:r>
      <w:proofErr w:type="spellEnd"/>
      <w:r w:rsidR="0056480E">
        <w:t xml:space="preserve"> </w:t>
      </w:r>
      <w:r>
        <w:t>.</w:t>
      </w:r>
      <w:proofErr w:type="gramEnd"/>
    </w:p>
    <w:p w:rsidR="004B6D38" w:rsidRPr="004B6D38" w:rsidRDefault="004B6D38"/>
    <w:p w:rsidR="004157AE" w:rsidRPr="001960B4" w:rsidRDefault="0056480E">
      <w:pPr>
        <w:rPr>
          <w:b/>
          <w:color w:val="C00000"/>
        </w:rPr>
      </w:pPr>
      <w:r w:rsidRPr="00D22597">
        <w:rPr>
          <w:b/>
          <w:caps/>
          <w:color w:val="C00000"/>
        </w:rPr>
        <w:t xml:space="preserve">Autres </w:t>
      </w:r>
      <w:r w:rsidR="00D22597">
        <w:rPr>
          <w:b/>
          <w:caps/>
          <w:color w:val="C00000"/>
        </w:rPr>
        <w:t>traitements </w:t>
      </w:r>
    </w:p>
    <w:p w:rsidR="00293BE2" w:rsidRPr="00D22597" w:rsidRDefault="0056480E">
      <w:pPr>
        <w:rPr>
          <w:b/>
          <w:color w:val="1F4E79" w:themeColor="accent1" w:themeShade="80"/>
        </w:rPr>
      </w:pPr>
      <w:r w:rsidRPr="00D22597">
        <w:rPr>
          <w:b/>
          <w:color w:val="1F4E79" w:themeColor="accent1" w:themeShade="80"/>
        </w:rPr>
        <w:t>-</w:t>
      </w:r>
      <w:r w:rsidR="00293BE2" w:rsidRPr="00D22597">
        <w:rPr>
          <w:b/>
          <w:color w:val="1F4E79" w:themeColor="accent1" w:themeShade="80"/>
        </w:rPr>
        <w:t xml:space="preserve"> </w:t>
      </w:r>
      <w:r w:rsidR="00DD0959" w:rsidRPr="00D22597">
        <w:rPr>
          <w:b/>
          <w:color w:val="1F4E79" w:themeColor="accent1" w:themeShade="80"/>
        </w:rPr>
        <w:t xml:space="preserve">Le </w:t>
      </w:r>
      <w:r w:rsidR="004B6D38" w:rsidRPr="00D22597">
        <w:rPr>
          <w:b/>
          <w:color w:val="1F4E79" w:themeColor="accent1" w:themeShade="80"/>
        </w:rPr>
        <w:t>Perfalgan</w:t>
      </w:r>
      <w:r w:rsidR="00293BE2" w:rsidRPr="00D22597">
        <w:rPr>
          <w:b/>
          <w:color w:val="1F4E79" w:themeColor="accent1" w:themeShade="80"/>
        </w:rPr>
        <w:t xml:space="preserve"> </w:t>
      </w:r>
      <w:r w:rsidR="00DD0959" w:rsidRPr="00D22597">
        <w:rPr>
          <w:b/>
          <w:color w:val="1F4E79" w:themeColor="accent1" w:themeShade="80"/>
        </w:rPr>
        <w:t xml:space="preserve">est </w:t>
      </w:r>
      <w:r w:rsidR="00293BE2" w:rsidRPr="00D22597">
        <w:rPr>
          <w:b/>
          <w:color w:val="1F4E79" w:themeColor="accent1" w:themeShade="80"/>
        </w:rPr>
        <w:t xml:space="preserve">non disponible en ville, </w:t>
      </w:r>
      <w:r w:rsidR="00DD0959" w:rsidRPr="00D22597">
        <w:rPr>
          <w:b/>
          <w:color w:val="1F4E79" w:themeColor="accent1" w:themeShade="80"/>
        </w:rPr>
        <w:t>une dérogation est-elle</w:t>
      </w:r>
      <w:r w:rsidR="00293BE2" w:rsidRPr="00D22597">
        <w:rPr>
          <w:b/>
          <w:color w:val="1F4E79" w:themeColor="accent1" w:themeShade="80"/>
        </w:rPr>
        <w:t xml:space="preserve"> </w:t>
      </w:r>
      <w:r w:rsidR="004B6D38" w:rsidRPr="00D22597">
        <w:rPr>
          <w:b/>
          <w:color w:val="1F4E79" w:themeColor="accent1" w:themeShade="80"/>
        </w:rPr>
        <w:t>possible</w:t>
      </w:r>
      <w:r w:rsidR="00DD0959" w:rsidRPr="00D22597">
        <w:rPr>
          <w:b/>
          <w:color w:val="1F4E79" w:themeColor="accent1" w:themeShade="80"/>
        </w:rPr>
        <w:t> ?</w:t>
      </w:r>
    </w:p>
    <w:p w:rsidR="0084632F" w:rsidRDefault="0084632F" w:rsidP="00B1153F">
      <w:pPr>
        <w:ind w:left="708"/>
        <w:jc w:val="both"/>
      </w:pPr>
      <w:r>
        <w:t xml:space="preserve">Le décret du 16 octobre 2020 donne la possibilité de disposer des spécialités à base de </w:t>
      </w:r>
      <w:r w:rsidR="004B6D38">
        <w:t>paracétamol</w:t>
      </w:r>
      <w:r>
        <w:t xml:space="preserve"> injectable en médecine de ville, pour la prise en charge ambulatoire de la fièvre et de la douleur des patients infectés par le SARS-CoV-2. La prescription peut être établie par tous </w:t>
      </w:r>
      <w:r w:rsidR="004B6D38">
        <w:t>médecins,</w:t>
      </w:r>
      <w:r w:rsidR="00845B13">
        <w:t xml:space="preserve"> elle doit </w:t>
      </w:r>
      <w:r w:rsidR="004B6D38">
        <w:t>mentionner</w:t>
      </w:r>
      <w:r w:rsidR="00845B13">
        <w:t xml:space="preserve"> « prescription dans le cadre de la Covid-19 « </w:t>
      </w:r>
      <w:r>
        <w:t>et la dispensation est réalisée en rétrocession par les pharmaciens des pharmacies à usage intérieur</w:t>
      </w:r>
      <w:r w:rsidR="00F41BD4">
        <w:t>.</w:t>
      </w:r>
    </w:p>
    <w:p w:rsidR="00293BE2" w:rsidRPr="00D22597" w:rsidRDefault="00DC0EAF">
      <w:pPr>
        <w:rPr>
          <w:b/>
          <w:color w:val="1F4E79" w:themeColor="accent1" w:themeShade="80"/>
        </w:rPr>
      </w:pPr>
      <w:r w:rsidRPr="00D22597">
        <w:rPr>
          <w:b/>
          <w:color w:val="1F4E79" w:themeColor="accent1" w:themeShade="80"/>
        </w:rPr>
        <w:t>- P</w:t>
      </w:r>
      <w:r w:rsidR="00293BE2" w:rsidRPr="00D22597">
        <w:rPr>
          <w:b/>
          <w:color w:val="1F4E79" w:themeColor="accent1" w:themeShade="80"/>
        </w:rPr>
        <w:t xml:space="preserve">ourquoi éviter les </w:t>
      </w:r>
      <w:r w:rsidRPr="00D22597">
        <w:rPr>
          <w:b/>
          <w:color w:val="1F4E79" w:themeColor="accent1" w:themeShade="80"/>
        </w:rPr>
        <w:t>aérosols de bronchodilatateurs?</w:t>
      </w:r>
    </w:p>
    <w:p w:rsidR="00DC0EAF" w:rsidRDefault="00DC0EAF" w:rsidP="00B1153F">
      <w:pPr>
        <w:ind w:left="708"/>
        <w:jc w:val="both"/>
      </w:pPr>
      <w:r>
        <w:t>Les aérosols sont interdits e</w:t>
      </w:r>
      <w:r w:rsidRPr="00DC0EAF">
        <w:t>n raison du risque d’aérosolisation des particules virales et donc d’augmentation du risque de contagion pour les soignants et l’entourage</w:t>
      </w:r>
      <w:r>
        <w:t>.</w:t>
      </w:r>
      <w:r w:rsidRPr="00DC0EAF">
        <w:t xml:space="preserve"> </w:t>
      </w:r>
      <w:r>
        <w:t xml:space="preserve"> </w:t>
      </w:r>
    </w:p>
    <w:p w:rsidR="00DC0EAF" w:rsidRPr="00DC0EAF" w:rsidRDefault="00DC0EAF" w:rsidP="00B1153F">
      <w:pPr>
        <w:ind w:left="708"/>
        <w:jc w:val="both"/>
      </w:pPr>
      <w:r>
        <w:t xml:space="preserve">Ceci à l’exception des patients asthmatiques/BPCO/IRC chez lesquels </w:t>
      </w:r>
      <w:r w:rsidR="00F41BD4">
        <w:t>les traitements</w:t>
      </w:r>
      <w:r>
        <w:t xml:space="preserve"> inhalés ne doivent pas être arrêtés. Les aérosols doivent alors être réalisés avec les mesures de protections adéquates pour le personnel (</w:t>
      </w:r>
      <w:r w:rsidR="008D7A0B">
        <w:t xml:space="preserve">EPI y compris lunettes et charlotte </w:t>
      </w:r>
      <w:r w:rsidR="00F41BD4">
        <w:t>avec masque</w:t>
      </w:r>
      <w:r>
        <w:t xml:space="preserve"> FFP2)</w:t>
      </w:r>
      <w:r w:rsidR="008D7A0B">
        <w:t>.</w:t>
      </w:r>
    </w:p>
    <w:p w:rsidR="004157AE" w:rsidRDefault="004157AE">
      <w:pPr>
        <w:rPr>
          <w:b/>
          <w:color w:val="1F4E79" w:themeColor="accent1" w:themeShade="80"/>
        </w:rPr>
      </w:pPr>
      <w:r w:rsidRPr="00B40D2D">
        <w:rPr>
          <w:b/>
          <w:color w:val="1F4E79" w:themeColor="accent1" w:themeShade="80"/>
        </w:rPr>
        <w:t xml:space="preserve">- Si le patient présente des signes cliniques et/ou biologiques de </w:t>
      </w:r>
      <w:r w:rsidR="00DD0959" w:rsidRPr="00B40D2D">
        <w:rPr>
          <w:b/>
          <w:color w:val="1F4E79" w:themeColor="accent1" w:themeShade="80"/>
        </w:rPr>
        <w:t>déshydratation</w:t>
      </w:r>
      <w:r w:rsidRPr="00B40D2D">
        <w:rPr>
          <w:b/>
          <w:color w:val="1F4E79" w:themeColor="accent1" w:themeShade="80"/>
        </w:rPr>
        <w:t>,</w:t>
      </w:r>
      <w:r w:rsidR="00B40D2D" w:rsidRPr="00B40D2D">
        <w:rPr>
          <w:b/>
          <w:color w:val="1F4E79" w:themeColor="accent1" w:themeShade="80"/>
        </w:rPr>
        <w:t xml:space="preserve"> </w:t>
      </w:r>
      <w:r w:rsidR="00DD0959" w:rsidRPr="00B40D2D">
        <w:rPr>
          <w:b/>
          <w:color w:val="1F4E79" w:themeColor="accent1" w:themeShade="80"/>
        </w:rPr>
        <w:t>peut-on</w:t>
      </w:r>
      <w:r w:rsidR="00B40D2D" w:rsidRPr="00B40D2D">
        <w:rPr>
          <w:b/>
          <w:color w:val="1F4E79" w:themeColor="accent1" w:themeShade="80"/>
        </w:rPr>
        <w:t xml:space="preserve"> le perfuser à domicile, si oui, selon quelles modalités ?</w:t>
      </w:r>
    </w:p>
    <w:p w:rsidR="00B40D2D" w:rsidRPr="00B40D2D" w:rsidRDefault="00B40D2D" w:rsidP="00B1153F">
      <w:pPr>
        <w:spacing w:after="0"/>
        <w:ind w:left="360"/>
        <w:jc w:val="both"/>
      </w:pPr>
      <w:r w:rsidRPr="00B40D2D">
        <w:t>Oui cela est possible</w:t>
      </w:r>
    </w:p>
    <w:p w:rsidR="00B40D2D" w:rsidRPr="00B40D2D" w:rsidRDefault="00845B13" w:rsidP="00B1153F">
      <w:pPr>
        <w:pStyle w:val="Paragraphedeliste"/>
        <w:numPr>
          <w:ilvl w:val="0"/>
          <w:numId w:val="3"/>
        </w:numPr>
        <w:spacing w:after="0"/>
        <w:ind w:left="1080"/>
        <w:jc w:val="both"/>
      </w:pPr>
      <w:r>
        <w:lastRenderedPageBreak/>
        <w:t>Si</w:t>
      </w:r>
      <w:r w:rsidR="00E64E50" w:rsidRPr="00B40D2D">
        <w:t xml:space="preserve"> apport per os &lt; 1 litre/24h</w:t>
      </w:r>
      <w:r w:rsidR="00E64E50">
        <w:t xml:space="preserve"> : </w:t>
      </w:r>
      <w:r w:rsidR="00B40D2D" w:rsidRPr="00B40D2D">
        <w:t>Envisager perfusion sous-cutanée</w:t>
      </w:r>
      <w:r w:rsidR="00E64E50">
        <w:t xml:space="preserve"> 1000cc la nuit (base à adapter à la situation clinique/ Attent</w:t>
      </w:r>
      <w:r w:rsidR="00892BAA">
        <w:t xml:space="preserve">ion potassium </w:t>
      </w:r>
      <w:r w:rsidR="00E64E50">
        <w:t xml:space="preserve">et G10 interdits en sous-cutanée) </w:t>
      </w:r>
    </w:p>
    <w:p w:rsidR="00B40D2D" w:rsidRPr="00B40D2D" w:rsidRDefault="00B40D2D" w:rsidP="00B1153F">
      <w:pPr>
        <w:spacing w:after="0"/>
        <w:jc w:val="both"/>
      </w:pPr>
      <w:r w:rsidRPr="00B40D2D">
        <w:tab/>
        <w:t>Surveillance/adaptation des doses de diurétiques</w:t>
      </w:r>
    </w:p>
    <w:p w:rsidR="00B40D2D" w:rsidRDefault="00B40D2D" w:rsidP="00B1153F">
      <w:pPr>
        <w:spacing w:after="0"/>
        <w:jc w:val="both"/>
      </w:pPr>
      <w:r w:rsidRPr="00B40D2D">
        <w:tab/>
        <w:t>Surveillance accrue si insuffisance cardiaque</w:t>
      </w:r>
    </w:p>
    <w:p w:rsidR="00F41BD4" w:rsidRPr="00B40D2D" w:rsidRDefault="00F41BD4" w:rsidP="00B1153F">
      <w:pPr>
        <w:spacing w:after="0"/>
        <w:jc w:val="both"/>
      </w:pPr>
    </w:p>
    <w:p w:rsidR="00B40D2D" w:rsidRDefault="00B40D2D" w:rsidP="00B1153F">
      <w:pPr>
        <w:pStyle w:val="Paragraphedeliste"/>
        <w:numPr>
          <w:ilvl w:val="0"/>
          <w:numId w:val="3"/>
        </w:numPr>
        <w:spacing w:after="0"/>
        <w:jc w:val="both"/>
      </w:pPr>
      <w:r w:rsidRPr="00B40D2D">
        <w:t xml:space="preserve">Attention : nécessité de réhydratation intraveineuse si besoin supérieur ou devant toute </w:t>
      </w:r>
      <w:proofErr w:type="spellStart"/>
      <w:r w:rsidRPr="00B40D2D">
        <w:t>hypernatrémie</w:t>
      </w:r>
      <w:proofErr w:type="spellEnd"/>
      <w:r w:rsidRPr="00B40D2D">
        <w:t xml:space="preserve"> &gt;150 </w:t>
      </w:r>
      <w:proofErr w:type="spellStart"/>
      <w:r w:rsidRPr="00B40D2D">
        <w:t>mmol</w:t>
      </w:r>
      <w:proofErr w:type="spellEnd"/>
      <w:r w:rsidRPr="00B40D2D">
        <w:t xml:space="preserve">/l  </w:t>
      </w:r>
    </w:p>
    <w:p w:rsidR="00B40D2D" w:rsidRPr="00B40D2D" w:rsidRDefault="00B40D2D" w:rsidP="00B1153F">
      <w:pPr>
        <w:pStyle w:val="Paragraphedeliste"/>
        <w:spacing w:after="0"/>
        <w:jc w:val="both"/>
      </w:pPr>
    </w:p>
    <w:p w:rsidR="001960B4" w:rsidRDefault="001960B4"/>
    <w:p w:rsidR="001960B4" w:rsidRDefault="001960B4"/>
    <w:sectPr w:rsidR="001960B4" w:rsidSect="004B6D38">
      <w:headerReference w:type="default" r:id="rId13"/>
      <w:pgSz w:w="11906" w:h="16838"/>
      <w:pgMar w:top="239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ACB" w:rsidRDefault="005D4ACB" w:rsidP="00F41710">
      <w:pPr>
        <w:spacing w:after="0" w:line="240" w:lineRule="auto"/>
      </w:pPr>
      <w:r>
        <w:separator/>
      </w:r>
    </w:p>
  </w:endnote>
  <w:endnote w:type="continuationSeparator" w:id="0">
    <w:p w:rsidR="005D4ACB" w:rsidRDefault="005D4ACB" w:rsidP="00F41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ACB" w:rsidRDefault="005D4ACB" w:rsidP="00F41710">
      <w:pPr>
        <w:spacing w:after="0" w:line="240" w:lineRule="auto"/>
      </w:pPr>
      <w:r>
        <w:separator/>
      </w:r>
    </w:p>
  </w:footnote>
  <w:footnote w:type="continuationSeparator" w:id="0">
    <w:p w:rsidR="005D4ACB" w:rsidRDefault="005D4ACB" w:rsidP="00F41710">
      <w:pPr>
        <w:spacing w:after="0" w:line="240" w:lineRule="auto"/>
      </w:pPr>
      <w:r>
        <w:continuationSeparator/>
      </w:r>
    </w:p>
  </w:footnote>
  <w:footnote w:id="1">
    <w:p w:rsidR="00F41710" w:rsidRDefault="00F41710" w:rsidP="00F41710">
      <w:pPr>
        <w:pStyle w:val="Notedebasdepage"/>
      </w:pPr>
      <w:r>
        <w:rPr>
          <w:rStyle w:val="Appelnotedebasdep"/>
        </w:rPr>
        <w:footnoteRef/>
      </w:r>
      <w:r>
        <w:t xml:space="preserve"> Anomalies biologiques associées à un pronostic sombre chez patients </w:t>
      </w:r>
      <w:proofErr w:type="gramStart"/>
      <w:r>
        <w:t>hospitalisés  (</w:t>
      </w:r>
      <w:proofErr w:type="gramEnd"/>
      <w:r>
        <w:t xml:space="preserve"> Fei Zhou, Lancet, Mar 28 , 2020) :</w:t>
      </w:r>
    </w:p>
    <w:p w:rsidR="00F41710" w:rsidRDefault="00F41710" w:rsidP="00F41710">
      <w:pPr>
        <w:pStyle w:val="Notedebasdepage"/>
      </w:pPr>
      <w:r>
        <w:t xml:space="preserve">   Lymphopénie </w:t>
      </w:r>
    </w:p>
    <w:p w:rsidR="00F41710" w:rsidRDefault="00F41710" w:rsidP="00F41710">
      <w:pPr>
        <w:pStyle w:val="Notedebasdepage"/>
      </w:pPr>
      <w:r>
        <w:t xml:space="preserve">  Augmentation des ASAT, ALAT </w:t>
      </w:r>
    </w:p>
    <w:p w:rsidR="00F41710" w:rsidRDefault="00F41710" w:rsidP="00F41710">
      <w:pPr>
        <w:pStyle w:val="Notedebasdepage"/>
      </w:pPr>
      <w:r>
        <w:t xml:space="preserve">  Augmentation de la LDH </w:t>
      </w:r>
    </w:p>
    <w:p w:rsidR="00F41710" w:rsidRDefault="00F41710" w:rsidP="00F41710">
      <w:pPr>
        <w:pStyle w:val="Notedebasdepage"/>
      </w:pPr>
      <w:r>
        <w:t xml:space="preserve">  Augmentation des marqueurs de l’inflammation (CRP, </w:t>
      </w:r>
      <w:proofErr w:type="spellStart"/>
      <w:proofErr w:type="gramStart"/>
      <w:r>
        <w:t>Ferritine,fibrinogène</w:t>
      </w:r>
      <w:proofErr w:type="spellEnd"/>
      <w:proofErr w:type="gramEnd"/>
      <w:r>
        <w:t xml:space="preserve"> ...) </w:t>
      </w:r>
    </w:p>
    <w:p w:rsidR="00F41710" w:rsidRDefault="00F41710" w:rsidP="00F41710">
      <w:pPr>
        <w:pStyle w:val="Notedebasdepage"/>
      </w:pPr>
      <w:r>
        <w:t xml:space="preserve">  Augmentation des D-Dimères (&gt; 1 µg/</w:t>
      </w:r>
      <w:proofErr w:type="spellStart"/>
      <w:r>
        <w:t>mL</w:t>
      </w:r>
      <w:proofErr w:type="spellEnd"/>
      <w:r>
        <w:t xml:space="preserve">) </w:t>
      </w:r>
    </w:p>
    <w:p w:rsidR="00F41710" w:rsidRDefault="00F41710" w:rsidP="00F41710">
      <w:pPr>
        <w:pStyle w:val="Notedebasdepage"/>
      </w:pPr>
      <w:r>
        <w:t xml:space="preserve">  Augmentation du TP </w:t>
      </w:r>
    </w:p>
    <w:p w:rsidR="00F41710" w:rsidRDefault="00F41710" w:rsidP="00F41710">
      <w:pPr>
        <w:pStyle w:val="Notedebasdepage"/>
      </w:pPr>
      <w:r>
        <w:t xml:space="preserve">  Augmentation de la Troponine </w:t>
      </w:r>
    </w:p>
    <w:p w:rsidR="00F41710" w:rsidRDefault="00F41710" w:rsidP="00F41710">
      <w:pPr>
        <w:pStyle w:val="Notedebasdepage"/>
      </w:pPr>
      <w:r>
        <w:t xml:space="preserve">  Augmentation des CPK </w:t>
      </w:r>
    </w:p>
    <w:p w:rsidR="00F41710" w:rsidRDefault="00F41710" w:rsidP="00F41710">
      <w:pPr>
        <w:pStyle w:val="Notedebasdepage"/>
      </w:pPr>
      <w:r>
        <w:t xml:space="preserve">  Insuffisance rénale aiguë</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5F1" w:rsidRPr="00C665F1" w:rsidRDefault="00C2321E" w:rsidP="00C665F1">
    <w:pPr>
      <w:pStyle w:val="En-tte"/>
    </w:pPr>
    <w:r w:rsidRPr="00C665F1">
      <w:rPr>
        <w:noProof/>
        <w:lang w:eastAsia="fr-FR"/>
      </w:rPr>
      <w:drawing>
        <wp:anchor distT="0" distB="0" distL="114300" distR="114300" simplePos="0" relativeHeight="251661312" behindDoc="1" locked="0" layoutInCell="1" allowOverlap="1" wp14:anchorId="1A120580" wp14:editId="70F8FD29">
          <wp:simplePos x="0" y="0"/>
          <wp:positionH relativeFrom="column">
            <wp:posOffset>2833370</wp:posOffset>
          </wp:positionH>
          <wp:positionV relativeFrom="paragraph">
            <wp:posOffset>-243205</wp:posOffset>
          </wp:positionV>
          <wp:extent cx="1772920" cy="807085"/>
          <wp:effectExtent l="0" t="0" r="0" b="0"/>
          <wp:wrapTight wrapText="bothSides">
            <wp:wrapPolygon edited="0">
              <wp:start x="1393" y="0"/>
              <wp:lineTo x="464" y="9177"/>
              <wp:lineTo x="0" y="12746"/>
              <wp:lineTo x="232" y="19374"/>
              <wp:lineTo x="10212" y="20903"/>
              <wp:lineTo x="21352" y="20903"/>
              <wp:lineTo x="21120" y="3059"/>
              <wp:lineTo x="20656" y="0"/>
              <wp:lineTo x="1393" y="0"/>
            </wp:wrapPolygon>
          </wp:wrapTight>
          <wp:docPr id="24" name="Image 24" descr="C:\Users\smatteirao\Desktop\Lgos\urps INFIRMI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smatteirao\Desktop\Lgos\urps INFIRMIER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2920" cy="807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2BAA">
      <w:rPr>
        <w:noProof/>
      </w:rPr>
      <w:object w:dxaOrig="1440" w:dyaOrig="1440" w14:anchorId="1BBAD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5.6pt;margin-top:-34.2pt;width:103.7pt;height:85pt;z-index:251659264;mso-position-horizontal-relative:text;mso-position-vertical-relative:text" wrapcoords="-36 0 -36 21027 4320 21027 4320 0 -36 0">
          <v:imagedata r:id="rId2" o:title=""/>
          <w10:wrap type="tight"/>
        </v:shape>
        <o:OLEObject Type="Embed" ProgID="Word.Document.12" ShapeID="_x0000_s2049" DrawAspect="Content" ObjectID="_1668614526" r:id="rId3">
          <o:FieldCodes>\s</o:FieldCodes>
        </o:OLEObject>
      </w:object>
    </w:r>
    <w:r w:rsidRPr="00C665F1">
      <w:rPr>
        <w:noProof/>
        <w:lang w:eastAsia="fr-FR"/>
      </w:rPr>
      <w:drawing>
        <wp:anchor distT="0" distB="0" distL="114300" distR="114300" simplePos="0" relativeHeight="251660288" behindDoc="1" locked="0" layoutInCell="1" allowOverlap="1" wp14:anchorId="7B748593" wp14:editId="7F517D51">
          <wp:simplePos x="0" y="0"/>
          <wp:positionH relativeFrom="margin">
            <wp:posOffset>-775970</wp:posOffset>
          </wp:positionH>
          <wp:positionV relativeFrom="paragraph">
            <wp:posOffset>-325755</wp:posOffset>
          </wp:positionV>
          <wp:extent cx="2552700" cy="1085850"/>
          <wp:effectExtent l="0" t="0" r="0" b="0"/>
          <wp:wrapTight wrapText="bothSides">
            <wp:wrapPolygon edited="0">
              <wp:start x="0" y="0"/>
              <wp:lineTo x="0" y="21221"/>
              <wp:lineTo x="21439" y="21221"/>
              <wp:lineTo x="21439" y="0"/>
              <wp:lineTo x="0" y="0"/>
            </wp:wrapPolygon>
          </wp:wrapTight>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552700" cy="10858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7EDD"/>
    <w:multiLevelType w:val="hybridMultilevel"/>
    <w:tmpl w:val="21423CE4"/>
    <w:lvl w:ilvl="0" w:tplc="017C43D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951182"/>
    <w:multiLevelType w:val="hybridMultilevel"/>
    <w:tmpl w:val="3ED61624"/>
    <w:lvl w:ilvl="0" w:tplc="0414AD0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2F34A4D"/>
    <w:multiLevelType w:val="hybridMultilevel"/>
    <w:tmpl w:val="51B85FA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40C1C90"/>
    <w:multiLevelType w:val="hybridMultilevel"/>
    <w:tmpl w:val="5AFE4758"/>
    <w:lvl w:ilvl="0" w:tplc="9934F29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B811310"/>
    <w:multiLevelType w:val="hybridMultilevel"/>
    <w:tmpl w:val="843C7AA4"/>
    <w:numStyleLink w:val="Puces"/>
  </w:abstractNum>
  <w:abstractNum w:abstractNumId="5" w15:restartNumberingAfterBreak="0">
    <w:nsid w:val="6CB643CB"/>
    <w:multiLevelType w:val="hybridMultilevel"/>
    <w:tmpl w:val="9E3034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D531FF9"/>
    <w:multiLevelType w:val="hybridMultilevel"/>
    <w:tmpl w:val="843C7AA4"/>
    <w:styleLink w:val="Puces"/>
    <w:lvl w:ilvl="0" w:tplc="7BF4C6BA">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1ECD46">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2E311E">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CA7300">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142A0C">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142B4E">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E6AFFA">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500C0E">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52225C">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4"/>
    <w:lvlOverride w:ilvl="0">
      <w:lvl w:ilvl="0" w:tplc="76A8AF5C">
        <w:start w:val="1"/>
        <w:numFmt w:val="bullet"/>
        <w:lvlText w:val="•"/>
        <w:lvlJc w:val="left"/>
        <w:pPr>
          <w:ind w:left="756"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8201A0C">
        <w:start w:val="1"/>
        <w:numFmt w:val="bullet"/>
        <w:lvlText w:val="•"/>
        <w:lvlJc w:val="left"/>
        <w:pPr>
          <w:ind w:left="567"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8A1CF312">
        <w:start w:val="1"/>
        <w:numFmt w:val="bullet"/>
        <w:lvlText w:val="✓"/>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46C4E74">
        <w:start w:val="1"/>
        <w:numFmt w:val="bullet"/>
        <w:lvlText w:val="•"/>
        <w:lvlJc w:val="left"/>
        <w:pPr>
          <w:ind w:left="1323"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FB2DEC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7264E5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004F3E4">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3228E1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F028D4E">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2"/>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BE2"/>
    <w:rsid w:val="00056767"/>
    <w:rsid w:val="000A305F"/>
    <w:rsid w:val="00153354"/>
    <w:rsid w:val="001960B4"/>
    <w:rsid w:val="001C1241"/>
    <w:rsid w:val="001F21EB"/>
    <w:rsid w:val="001F332C"/>
    <w:rsid w:val="00201183"/>
    <w:rsid w:val="00250177"/>
    <w:rsid w:val="00266619"/>
    <w:rsid w:val="00293BE2"/>
    <w:rsid w:val="003273F1"/>
    <w:rsid w:val="003648F5"/>
    <w:rsid w:val="003B24D9"/>
    <w:rsid w:val="003D35C1"/>
    <w:rsid w:val="004157AE"/>
    <w:rsid w:val="00455184"/>
    <w:rsid w:val="004A24E3"/>
    <w:rsid w:val="004A6611"/>
    <w:rsid w:val="004B6D38"/>
    <w:rsid w:val="0056480E"/>
    <w:rsid w:val="005A716E"/>
    <w:rsid w:val="005D4ACB"/>
    <w:rsid w:val="00631C90"/>
    <w:rsid w:val="0071536F"/>
    <w:rsid w:val="00742087"/>
    <w:rsid w:val="007545A5"/>
    <w:rsid w:val="0077072D"/>
    <w:rsid w:val="00775E16"/>
    <w:rsid w:val="007916F7"/>
    <w:rsid w:val="00794444"/>
    <w:rsid w:val="007F5E37"/>
    <w:rsid w:val="00845B13"/>
    <w:rsid w:val="0084632F"/>
    <w:rsid w:val="00892BAA"/>
    <w:rsid w:val="008D7A0B"/>
    <w:rsid w:val="008F597F"/>
    <w:rsid w:val="0091214D"/>
    <w:rsid w:val="009C11B7"/>
    <w:rsid w:val="009E013F"/>
    <w:rsid w:val="00A044C2"/>
    <w:rsid w:val="00A11F2C"/>
    <w:rsid w:val="00A26D7C"/>
    <w:rsid w:val="00A86C05"/>
    <w:rsid w:val="00AA3CEA"/>
    <w:rsid w:val="00AF1589"/>
    <w:rsid w:val="00B1153F"/>
    <w:rsid w:val="00B24942"/>
    <w:rsid w:val="00B40D2D"/>
    <w:rsid w:val="00B64598"/>
    <w:rsid w:val="00B728BD"/>
    <w:rsid w:val="00BA4E1E"/>
    <w:rsid w:val="00BE368F"/>
    <w:rsid w:val="00BF24D9"/>
    <w:rsid w:val="00BF7B47"/>
    <w:rsid w:val="00C031D1"/>
    <w:rsid w:val="00C2321E"/>
    <w:rsid w:val="00C665F1"/>
    <w:rsid w:val="00CE2291"/>
    <w:rsid w:val="00D22597"/>
    <w:rsid w:val="00DA2F3B"/>
    <w:rsid w:val="00DC0EAF"/>
    <w:rsid w:val="00DC659C"/>
    <w:rsid w:val="00DD0959"/>
    <w:rsid w:val="00E16B4E"/>
    <w:rsid w:val="00E62730"/>
    <w:rsid w:val="00E64E50"/>
    <w:rsid w:val="00E70752"/>
    <w:rsid w:val="00E90BD1"/>
    <w:rsid w:val="00ED492C"/>
    <w:rsid w:val="00F41710"/>
    <w:rsid w:val="00F41B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5DC580"/>
  <w15:chartTrackingRefBased/>
  <w15:docId w15:val="{2DA3BAE1-2955-459C-8221-55162349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A2F3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794444"/>
    <w:rPr>
      <w:color w:val="0563C1" w:themeColor="hyperlink"/>
      <w:u w:val="single"/>
    </w:rPr>
  </w:style>
  <w:style w:type="character" w:styleId="Marquedecommentaire">
    <w:name w:val="annotation reference"/>
    <w:basedOn w:val="Policepardfaut"/>
    <w:uiPriority w:val="99"/>
    <w:semiHidden/>
    <w:unhideWhenUsed/>
    <w:rsid w:val="00C031D1"/>
    <w:rPr>
      <w:sz w:val="16"/>
      <w:szCs w:val="16"/>
    </w:rPr>
  </w:style>
  <w:style w:type="paragraph" w:styleId="Commentaire">
    <w:name w:val="annotation text"/>
    <w:basedOn w:val="Normal"/>
    <w:link w:val="CommentaireCar"/>
    <w:uiPriority w:val="99"/>
    <w:semiHidden/>
    <w:unhideWhenUsed/>
    <w:rsid w:val="00C031D1"/>
    <w:pPr>
      <w:spacing w:line="240" w:lineRule="auto"/>
    </w:pPr>
    <w:rPr>
      <w:sz w:val="20"/>
      <w:szCs w:val="20"/>
    </w:rPr>
  </w:style>
  <w:style w:type="character" w:customStyle="1" w:styleId="CommentaireCar">
    <w:name w:val="Commentaire Car"/>
    <w:basedOn w:val="Policepardfaut"/>
    <w:link w:val="Commentaire"/>
    <w:uiPriority w:val="99"/>
    <w:semiHidden/>
    <w:rsid w:val="00C031D1"/>
    <w:rPr>
      <w:sz w:val="20"/>
      <w:szCs w:val="20"/>
    </w:rPr>
  </w:style>
  <w:style w:type="paragraph" w:styleId="Objetducommentaire">
    <w:name w:val="annotation subject"/>
    <w:basedOn w:val="Commentaire"/>
    <w:next w:val="Commentaire"/>
    <w:link w:val="ObjetducommentaireCar"/>
    <w:uiPriority w:val="99"/>
    <w:semiHidden/>
    <w:unhideWhenUsed/>
    <w:rsid w:val="00C031D1"/>
    <w:rPr>
      <w:b/>
      <w:bCs/>
    </w:rPr>
  </w:style>
  <w:style w:type="character" w:customStyle="1" w:styleId="ObjetducommentaireCar">
    <w:name w:val="Objet du commentaire Car"/>
    <w:basedOn w:val="CommentaireCar"/>
    <w:link w:val="Objetducommentaire"/>
    <w:uiPriority w:val="99"/>
    <w:semiHidden/>
    <w:rsid w:val="00C031D1"/>
    <w:rPr>
      <w:b/>
      <w:bCs/>
      <w:sz w:val="20"/>
      <w:szCs w:val="20"/>
    </w:rPr>
  </w:style>
  <w:style w:type="paragraph" w:styleId="Textedebulles">
    <w:name w:val="Balloon Text"/>
    <w:basedOn w:val="Normal"/>
    <w:link w:val="TextedebullesCar"/>
    <w:uiPriority w:val="99"/>
    <w:semiHidden/>
    <w:unhideWhenUsed/>
    <w:rsid w:val="00C031D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31D1"/>
    <w:rPr>
      <w:rFonts w:ascii="Segoe UI" w:hAnsi="Segoe UI" w:cs="Segoe UI"/>
      <w:sz w:val="18"/>
      <w:szCs w:val="18"/>
    </w:rPr>
  </w:style>
  <w:style w:type="paragraph" w:customStyle="1" w:styleId="Corps">
    <w:name w:val="Corps"/>
    <w:rsid w:val="00C031D1"/>
    <w:pPr>
      <w:pBdr>
        <w:top w:val="nil"/>
        <w:left w:val="nil"/>
        <w:bottom w:val="nil"/>
        <w:right w:val="nil"/>
        <w:between w:val="nil"/>
        <w:bar w:val="nil"/>
      </w:pBdr>
    </w:pPr>
    <w:rPr>
      <w:rFonts w:ascii="Calibri" w:eastAsia="Arial Unicode MS" w:hAnsi="Calibri" w:cs="Arial Unicode MS"/>
      <w:color w:val="000000"/>
      <w:u w:color="000000"/>
      <w:bdr w:val="nil"/>
      <w:lang w:eastAsia="fr-FR"/>
      <w14:textOutline w14:w="0" w14:cap="flat" w14:cmpd="sng" w14:algn="ctr">
        <w14:noFill/>
        <w14:prstDash w14:val="solid"/>
        <w14:bevel/>
      </w14:textOutline>
    </w:rPr>
  </w:style>
  <w:style w:type="numbering" w:customStyle="1" w:styleId="Puces">
    <w:name w:val="Puces"/>
    <w:rsid w:val="00C031D1"/>
    <w:pPr>
      <w:numPr>
        <w:numId w:val="1"/>
      </w:numPr>
    </w:pPr>
  </w:style>
  <w:style w:type="character" w:customStyle="1" w:styleId="Aucun">
    <w:name w:val="Aucun"/>
    <w:rsid w:val="00C031D1"/>
    <w:rPr>
      <w:lang w:val="de-DE"/>
    </w:rPr>
  </w:style>
  <w:style w:type="paragraph" w:styleId="Paragraphedeliste">
    <w:name w:val="List Paragraph"/>
    <w:basedOn w:val="Normal"/>
    <w:uiPriority w:val="34"/>
    <w:qFormat/>
    <w:rsid w:val="00B40D2D"/>
    <w:pPr>
      <w:ind w:left="720"/>
      <w:contextualSpacing/>
    </w:pPr>
  </w:style>
  <w:style w:type="paragraph" w:styleId="Notedebasdepage">
    <w:name w:val="footnote text"/>
    <w:basedOn w:val="Normal"/>
    <w:link w:val="NotedebasdepageCar"/>
    <w:uiPriority w:val="99"/>
    <w:semiHidden/>
    <w:unhideWhenUsed/>
    <w:rsid w:val="00F4171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41710"/>
    <w:rPr>
      <w:sz w:val="20"/>
      <w:szCs w:val="20"/>
    </w:rPr>
  </w:style>
  <w:style w:type="character" w:styleId="Appelnotedebasdep">
    <w:name w:val="footnote reference"/>
    <w:basedOn w:val="Policepardfaut"/>
    <w:uiPriority w:val="99"/>
    <w:semiHidden/>
    <w:unhideWhenUsed/>
    <w:rsid w:val="00F41710"/>
    <w:rPr>
      <w:vertAlign w:val="superscript"/>
    </w:rPr>
  </w:style>
  <w:style w:type="character" w:styleId="Lienhypertextesuivivisit">
    <w:name w:val="FollowedHyperlink"/>
    <w:basedOn w:val="Policepardfaut"/>
    <w:uiPriority w:val="99"/>
    <w:semiHidden/>
    <w:unhideWhenUsed/>
    <w:rsid w:val="0091214D"/>
    <w:rPr>
      <w:color w:val="954F72" w:themeColor="followedHyperlink"/>
      <w:u w:val="single"/>
    </w:rPr>
  </w:style>
  <w:style w:type="paragraph" w:customStyle="1" w:styleId="Default">
    <w:name w:val="Default"/>
    <w:rsid w:val="009C11B7"/>
    <w:pPr>
      <w:autoSpaceDE w:val="0"/>
      <w:autoSpaceDN w:val="0"/>
      <w:adjustRightInd w:val="0"/>
      <w:spacing w:after="0" w:line="240" w:lineRule="auto"/>
    </w:pPr>
    <w:rPr>
      <w:rFonts w:ascii="Palatino Linotype" w:hAnsi="Palatino Linotype" w:cs="Palatino Linotype"/>
      <w:color w:val="000000"/>
      <w:sz w:val="24"/>
      <w:szCs w:val="24"/>
    </w:rPr>
  </w:style>
  <w:style w:type="paragraph" w:styleId="En-tte">
    <w:name w:val="header"/>
    <w:basedOn w:val="Normal"/>
    <w:link w:val="En-tteCar"/>
    <w:uiPriority w:val="99"/>
    <w:unhideWhenUsed/>
    <w:rsid w:val="00C665F1"/>
    <w:pPr>
      <w:tabs>
        <w:tab w:val="center" w:pos="4536"/>
        <w:tab w:val="right" w:pos="9072"/>
      </w:tabs>
      <w:spacing w:after="0" w:line="240" w:lineRule="auto"/>
    </w:pPr>
  </w:style>
  <w:style w:type="character" w:customStyle="1" w:styleId="En-tteCar">
    <w:name w:val="En-tête Car"/>
    <w:basedOn w:val="Policepardfaut"/>
    <w:link w:val="En-tte"/>
    <w:uiPriority w:val="99"/>
    <w:rsid w:val="00C665F1"/>
  </w:style>
  <w:style w:type="paragraph" w:styleId="Pieddepage">
    <w:name w:val="footer"/>
    <w:basedOn w:val="Normal"/>
    <w:link w:val="PieddepageCar"/>
    <w:uiPriority w:val="99"/>
    <w:unhideWhenUsed/>
    <w:rsid w:val="00C665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6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824554">
      <w:bodyDiv w:val="1"/>
      <w:marLeft w:val="0"/>
      <w:marRight w:val="0"/>
      <w:marTop w:val="0"/>
      <w:marBottom w:val="0"/>
      <w:divBdr>
        <w:top w:val="none" w:sz="0" w:space="0" w:color="auto"/>
        <w:left w:val="none" w:sz="0" w:space="0" w:color="auto"/>
        <w:bottom w:val="none" w:sz="0" w:space="0" w:color="auto"/>
        <w:right w:val="none" w:sz="0" w:space="0" w:color="auto"/>
      </w:divBdr>
    </w:div>
    <w:div w:id="202381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ntantoine.aphp.fr/scor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edicalcul.free.fr/wellsep.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urgences-serveur.fr/oxymetre-de-pouls-principes,2178.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package" Target="embeddings/Document_Microsoft_Word.docx"/><Relationship Id="rId2" Type="http://schemas.openxmlformats.org/officeDocument/2006/relationships/image" Target="media/image4.emf"/><Relationship Id="rId1" Type="http://schemas.openxmlformats.org/officeDocument/2006/relationships/image" Target="media/image3.png"/><Relationship Id="rId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A9908-6B3A-4B3F-8DE6-712F8B7E1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2866</Words>
  <Characters>15768</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zamponi dominique</dc:creator>
  <cp:keywords/>
  <dc:description/>
  <cp:lastModifiedBy>PIETRI-ZANI, Marie-Hélène</cp:lastModifiedBy>
  <cp:revision>4</cp:revision>
  <dcterms:created xsi:type="dcterms:W3CDTF">2020-12-02T08:52:00Z</dcterms:created>
  <dcterms:modified xsi:type="dcterms:W3CDTF">2020-12-04T18:16:00Z</dcterms:modified>
</cp:coreProperties>
</file>